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b210" w14:textId="532b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специальной защитной меры посредством введения специальной квоты в отношении горячекатаного проката, ввозимого на таможенную территорию Евразийского экономического союза, и внесении изменения в Решение Коллегии Евразийской экономической комиссии от 6 ноября 2014 г. № 199</w:t>
      </w:r>
    </w:p>
    <w:p>
      <w:pPr>
        <w:spacing w:after="0"/>
        <w:ind w:left="0"/>
        <w:jc w:val="both"/>
      </w:pPr>
      <w:r>
        <w:rPr>
          <w:rFonts w:ascii="Times New Roman"/>
          <w:b w:val="false"/>
          <w:i w:val="false"/>
          <w:color w:val="000000"/>
          <w:sz w:val="28"/>
        </w:rPr>
        <w:t>Решение Коллегии Евразийской экономической комиссии от 6 августа 2019 года № 137.</w:t>
      </w:r>
    </w:p>
    <w:p>
      <w:pPr>
        <w:spacing w:after="0"/>
        <w:ind w:left="0"/>
        <w:jc w:val="left"/>
      </w:pP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пунктом 23</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и на основании доклада Департамента защиты внутреннего рынка Евразийской экономической комиссии Коллегия Евразийской экономической комиссии </w:t>
      </w:r>
      <w:r>
        <w:rPr>
          <w:rFonts w:ascii="Times New Roman"/>
          <w:b/>
          <w:i w:val="false"/>
          <w:color w:val="000000"/>
          <w:sz w:val="28"/>
        </w:rPr>
        <w:t xml:space="preserve">решила:    </w:t>
      </w:r>
    </w:p>
    <w:bookmarkEnd w:id="0"/>
    <w:bookmarkStart w:name="z5" w:id="1"/>
    <w:p>
      <w:pPr>
        <w:spacing w:after="0"/>
        <w:ind w:left="0"/>
        <w:jc w:val="both"/>
      </w:pPr>
      <w:r>
        <w:rPr>
          <w:rFonts w:ascii="Times New Roman"/>
          <w:b w:val="false"/>
          <w:i w:val="false"/>
          <w:color w:val="000000"/>
          <w:sz w:val="28"/>
        </w:rPr>
        <w:t xml:space="preserve">
      1. Применить специальную защитную меру посредством введения с 1 декабря 2019 г. по 30 ноября 2020 г. включительно специальной квоты в отношении ввозимого (ввезенного) на таможенную территорию Евразийского экономического союза проката горячекатаного из углеродистых и легированных сталей в листах и рулонах, классифицируемого кодами 7208 10 000 0, 7208 25 000 0, 7208 26 000 0, 7208 27 000 0, 7208 36 000 0, 7208 37 000 0, 7208 38 000 0, 7208 39 000 0, 7208 40 000 0, 7208 51 200 1, 7208 51 200 9, 7208 51 910 0, 7208 51 980 0, 7208 52 100 0, 7208 52 910 0, 7208 52 990 0, 7208 53 100 0, 7208 53 900 0, 7208 54 000 0, 7208 90 200 0, 7208 90 800 0, 7211 13 000 0, 7211 14 000 0, 7211 19 000 0, 7225 30 100 0, 7225 30 300 0, 7225 30 900 0, 7225 40 120 1, 7225 40 120 9, 7225 40 150 1, 7225 40 150 9, 7225 40 400 0, 7225 40 600 0, 7225 40 900 0, 7226 91 200 0, 7226 91 910 0 и 7226 91 990 0 ТН ВЭД ЕАЭС (далее – горячекатаный прокат), установив объемы специальной квоты согласно </w:t>
      </w:r>
      <w:r>
        <w:rPr>
          <w:rFonts w:ascii="Times New Roman"/>
          <w:b w:val="false"/>
          <w:i w:val="false"/>
          <w:color w:val="000000"/>
          <w:sz w:val="28"/>
        </w:rPr>
        <w:t>приложению № 1</w:t>
      </w:r>
      <w:r>
        <w:rPr>
          <w:rFonts w:ascii="Times New Roman"/>
          <w:b w:val="false"/>
          <w:i w:val="false"/>
          <w:color w:val="000000"/>
          <w:sz w:val="28"/>
        </w:rPr>
        <w:t xml:space="preserve"> и ставку специальной пошлины в размере 20 процентов от таможенной стоимости.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Коллегии Евразийской экономической комиссии от 08.10.2019 </w:t>
      </w:r>
      <w:r>
        <w:rPr>
          <w:rFonts w:ascii="Times New Roman"/>
          <w:b w:val="false"/>
          <w:i w:val="false"/>
          <w:color w:val="000000"/>
          <w:sz w:val="28"/>
        </w:rPr>
        <w:t>№ 177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Установить, что:    </w:t>
      </w:r>
    </w:p>
    <w:bookmarkEnd w:id="2"/>
    <w:bookmarkStart w:name="z7" w:id="3"/>
    <w:p>
      <w:pPr>
        <w:spacing w:after="0"/>
        <w:ind w:left="0"/>
        <w:jc w:val="both"/>
      </w:pPr>
      <w:r>
        <w:rPr>
          <w:rFonts w:ascii="Times New Roman"/>
          <w:b w:val="false"/>
          <w:i w:val="false"/>
          <w:color w:val="000000"/>
          <w:sz w:val="28"/>
        </w:rPr>
        <w:t xml:space="preserve">
      специальная защитная мера, предусмотренная настоящим Решением, не распространяется на горячекатаный прокат, происходящий из развивающихся или наименее развитых стран – пользователей единой системы тарифных преференций Евразийского экономического союза (за исключением Республики Корея), а также из государств – участников Содружества Независимых Государств, являющихся сторонами Договора о зоне свободной торговли от 18 октября 2011 года (за исключением Украины); </w:t>
      </w:r>
    </w:p>
    <w:bookmarkEnd w:id="3"/>
    <w:bookmarkStart w:name="z8" w:id="4"/>
    <w:p>
      <w:pPr>
        <w:spacing w:after="0"/>
        <w:ind w:left="0"/>
        <w:jc w:val="both"/>
      </w:pPr>
      <w:r>
        <w:rPr>
          <w:rFonts w:ascii="Times New Roman"/>
          <w:b w:val="false"/>
          <w:i w:val="false"/>
          <w:color w:val="000000"/>
          <w:sz w:val="28"/>
        </w:rPr>
        <w:t xml:space="preserve">
      специальная квота, предусмотренная настоящим Решением, применяется в отношении ввозимого (ввезенного) на таможенную территорию Евразийского экономического союза горячекатаного проката, помещаемого под таможенную процедуру выпуска для внутреннего потребления и таможенную процедуру переработки для внутреннего потребления; </w:t>
      </w:r>
    </w:p>
    <w:bookmarkEnd w:id="4"/>
    <w:bookmarkStart w:name="z9" w:id="5"/>
    <w:p>
      <w:pPr>
        <w:spacing w:after="0"/>
        <w:ind w:left="0"/>
        <w:jc w:val="both"/>
      </w:pPr>
      <w:r>
        <w:rPr>
          <w:rFonts w:ascii="Times New Roman"/>
          <w:b w:val="false"/>
          <w:i w:val="false"/>
          <w:color w:val="000000"/>
          <w:sz w:val="28"/>
        </w:rPr>
        <w:t xml:space="preserve">
      специальная пошлина, предусмотренная настоящим Решением, не уплачивается в отношении горячекатаного проката при наличии у декларанта лицензии на импорт указанного товара на день, на который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 применяются специальные защитные меры, и при заявлении сведений о такой лицензии в декларации на товары; </w:t>
      </w:r>
    </w:p>
    <w:bookmarkEnd w:id="5"/>
    <w:bookmarkStart w:name="z10" w:id="6"/>
    <w:p>
      <w:pPr>
        <w:spacing w:after="0"/>
        <w:ind w:left="0"/>
        <w:jc w:val="both"/>
      </w:pPr>
      <w:r>
        <w:rPr>
          <w:rFonts w:ascii="Times New Roman"/>
          <w:b w:val="false"/>
          <w:i w:val="false"/>
          <w:color w:val="000000"/>
          <w:sz w:val="28"/>
        </w:rPr>
        <w:t xml:space="preserve">
      горячекатаный прокат включается в единый перечень товаров, к которым применяются меры нетарифного регулирования в торговле с третьими странами, предусмотренный </w:t>
      </w:r>
      <w:r>
        <w:rPr>
          <w:rFonts w:ascii="Times New Roman"/>
          <w:b w:val="false"/>
          <w:i w:val="false"/>
          <w:color w:val="000000"/>
          <w:sz w:val="28"/>
        </w:rPr>
        <w:t>пунктом 4</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и публикуемый на официальном сайте Евразийского экономического союза, на срок действия специальной защитной меры, предусмотренной настоящим Решением. </w:t>
      </w:r>
    </w:p>
    <w:bookmarkEnd w:id="6"/>
    <w:bookmarkStart w:name="z11" w:id="7"/>
    <w:p>
      <w:pPr>
        <w:spacing w:after="0"/>
        <w:ind w:left="0"/>
        <w:jc w:val="both"/>
      </w:pPr>
      <w:r>
        <w:rPr>
          <w:rFonts w:ascii="Times New Roman"/>
          <w:b w:val="false"/>
          <w:i w:val="false"/>
          <w:color w:val="000000"/>
          <w:sz w:val="28"/>
        </w:rPr>
        <w:t xml:space="preserve">
      3. Государствам – членам Евразийского экономического союза: </w:t>
      </w:r>
    </w:p>
    <w:bookmarkEnd w:id="7"/>
    <w:bookmarkStart w:name="z12" w:id="8"/>
    <w:p>
      <w:pPr>
        <w:spacing w:after="0"/>
        <w:ind w:left="0"/>
        <w:jc w:val="both"/>
      </w:pPr>
      <w:r>
        <w:rPr>
          <w:rFonts w:ascii="Times New Roman"/>
          <w:b w:val="false"/>
          <w:i w:val="false"/>
          <w:color w:val="000000"/>
          <w:sz w:val="28"/>
        </w:rPr>
        <w:t xml:space="preserve">
      распределять объемы специальной квоты, предусмотренной настоящим Решением, между участниками внешнеторговой деятельности в соответствии с порядком согласно </w:t>
      </w:r>
      <w:r>
        <w:rPr>
          <w:rFonts w:ascii="Times New Roman"/>
          <w:b w:val="false"/>
          <w:i w:val="false"/>
          <w:color w:val="000000"/>
          <w:sz w:val="28"/>
        </w:rPr>
        <w:t>приложению № 2</w:t>
      </w:r>
      <w:r>
        <w:rPr>
          <w:rFonts w:ascii="Times New Roman"/>
          <w:b w:val="false"/>
          <w:i w:val="false"/>
          <w:color w:val="000000"/>
          <w:sz w:val="28"/>
        </w:rPr>
        <w:t xml:space="preserve"> или своим законодательством; </w:t>
      </w:r>
    </w:p>
    <w:bookmarkEnd w:id="8"/>
    <w:bookmarkStart w:name="z13" w:id="9"/>
    <w:p>
      <w:pPr>
        <w:spacing w:after="0"/>
        <w:ind w:left="0"/>
        <w:jc w:val="both"/>
      </w:pPr>
      <w:r>
        <w:rPr>
          <w:rFonts w:ascii="Times New Roman"/>
          <w:b w:val="false"/>
          <w:i w:val="false"/>
          <w:color w:val="000000"/>
          <w:sz w:val="28"/>
        </w:rPr>
        <w:t xml:space="preserve">
      обеспечить осуществление уполномоченными органами исполнительной власти выдачи лицензий на импорт горячекатаного проката; </w:t>
      </w:r>
    </w:p>
    <w:bookmarkEnd w:id="9"/>
    <w:bookmarkStart w:name="z14" w:id="10"/>
    <w:p>
      <w:pPr>
        <w:spacing w:after="0"/>
        <w:ind w:left="0"/>
        <w:jc w:val="both"/>
      </w:pPr>
      <w:r>
        <w:rPr>
          <w:rFonts w:ascii="Times New Roman"/>
          <w:b w:val="false"/>
          <w:i w:val="false"/>
          <w:color w:val="000000"/>
          <w:sz w:val="28"/>
        </w:rPr>
        <w:t xml:space="preserve">
      обеспечить применение специальной защитной меры, предусмотренной настоящим Решением, руководствуясь как кодами ТН ВЭД ЕАЭС, так и наименованием товара.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Коллегии Евразийской экономической комиссии от 08.10.2019 </w:t>
      </w:r>
      <w:r>
        <w:rPr>
          <w:rFonts w:ascii="Times New Roman"/>
          <w:b w:val="false"/>
          <w:i w:val="false"/>
          <w:color w:val="000000"/>
          <w:sz w:val="28"/>
        </w:rPr>
        <w:t>№ 177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5. Настоящее Решение вступает в силу по истечении30 календарных дней с даты его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6 августа 2019 г. № 137  </w:t>
            </w:r>
          </w:p>
        </w:tc>
      </w:tr>
    </w:tbl>
    <w:p>
      <w:pPr>
        <w:spacing w:after="0"/>
        <w:ind w:left="0"/>
        <w:jc w:val="both"/>
      </w:pPr>
      <w:r>
        <w:rPr>
          <w:rFonts w:ascii="Times New Roman"/>
          <w:b w:val="false"/>
          <w:i w:val="false"/>
          <w:color w:val="ff0000"/>
          <w:sz w:val="28"/>
        </w:rPr>
        <w:t xml:space="preserve">
      Сноска. Правый верхний угол с изменением, внесенным решением Коллегии Евразийской экономической комиссии от 08.10.2019 </w:t>
      </w:r>
      <w:r>
        <w:rPr>
          <w:rFonts w:ascii="Times New Roman"/>
          <w:b w:val="false"/>
          <w:i w:val="false"/>
          <w:color w:val="ff0000"/>
          <w:sz w:val="28"/>
        </w:rPr>
        <w:t>№ 177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9" w:id="12"/>
    <w:p>
      <w:pPr>
        <w:spacing w:after="0"/>
        <w:ind w:left="0"/>
        <w:jc w:val="left"/>
      </w:pPr>
      <w:r>
        <w:rPr>
          <w:rFonts w:ascii="Times New Roman"/>
          <w:b/>
          <w:i w:val="false"/>
          <w:color w:val="000000"/>
        </w:rPr>
        <w:t xml:space="preserve"> ОБЪЕМЫ   </w:t>
      </w:r>
      <w:r>
        <w:br/>
      </w:r>
      <w:r>
        <w:rPr>
          <w:rFonts w:ascii="Times New Roman"/>
          <w:b/>
          <w:i w:val="false"/>
          <w:color w:val="000000"/>
        </w:rPr>
        <w:t xml:space="preserve">специальной квоты в отношении горячекатаного проката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специальной квоты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Кыргызская Республика</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xml:space="preserve">
Горячекатаный прокат, классифицируемый кодами  </w:t>
            </w:r>
          </w:p>
          <w:bookmarkEnd w:id="14"/>
          <w:p>
            <w:pPr>
              <w:spacing w:after="20"/>
              <w:ind w:left="20"/>
              <w:jc w:val="both"/>
            </w:pPr>
            <w:r>
              <w:rPr>
                <w:rFonts w:ascii="Times New Roman"/>
                <w:b w:val="false"/>
                <w:i w:val="false"/>
                <w:color w:val="000000"/>
                <w:sz w:val="20"/>
              </w:rPr>
              <w:t>
7208 10 000 0, 7208 25 000 0, 7208 26 000 0, 7208 27 000 0, 7208 36 000 0, 7208 37 000 0, 7208 38 000 0, 7208 39 000 0, 7208 40 000 0, 7208 51 200 1, 7208 51 980 0, 7208 52 100 0, 7208 52 910 0, 7208 52 990 0, 7208 53 100 0, 7208 53 900 0, 7208 54 000 0, 7208 90 200 0, 7208 90 800 0, 7211 13 000 0, 7211 14 000 0, 7211 19 000 0, 7225 30 100 0, 7225 30 300 0, 7225 30 900 0, 7225 40 120 1, 7225 40 120 9, 7225 40 150 1, 7225 40 150 9, 7225 40 600 0, 7225 40 900 0, 7226 91 200 0, 7226 91 910 0 и 7226 91 990 0 ТН ВЭД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Горячекатаный прокат, классифицируемый кодами 7208 51 200 9, 7208 51 910 0 и 7225 40 400 0 ТН ВЭД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698 249</w:t>
            </w:r>
          </w:p>
        </w:tc>
      </w:tr>
    </w:tbl>
    <w:p>
      <w:pPr>
        <w:spacing w:after="0"/>
        <w:ind w:left="0"/>
        <w:jc w:val="left"/>
      </w:pPr>
      <w:r>
        <w:br/>
      </w:r>
      <w:r>
        <w:rPr>
          <w:rFonts w:ascii="Times New Roman"/>
          <w:b w:val="false"/>
          <w:i w:val="false"/>
          <w:color w:val="000000"/>
          <w:sz w:val="28"/>
        </w:rPr>
        <w:t>
</w:t>
      </w:r>
    </w:p>
    <w:p>
      <w:pPr>
        <w:spacing w:after="0"/>
        <w:ind w:left="0"/>
        <w:jc w:val="both"/>
      </w:pPr>
      <w:bookmarkStart w:name="z22" w:id="15"/>
      <w:r>
        <w:rPr>
          <w:rFonts w:ascii="Times New Roman"/>
          <w:b w:val="false"/>
          <w:i w:val="false"/>
          <w:color w:val="000000"/>
          <w:sz w:val="28"/>
        </w:rPr>
        <w:t xml:space="preserve">
      ПРИЛОЖЕНИЕ № 2   </w:t>
      </w:r>
    </w:p>
    <w:bookmarkEnd w:id="15"/>
    <w:p>
      <w:pPr>
        <w:spacing w:after="0"/>
        <w:ind w:left="0"/>
        <w:jc w:val="both"/>
      </w:pPr>
      <w:r>
        <w:rPr>
          <w:rFonts w:ascii="Times New Roman"/>
          <w:b w:val="false"/>
          <w:i w:val="false"/>
          <w:color w:val="000000"/>
          <w:sz w:val="28"/>
        </w:rPr>
        <w:t xml:space="preserve">к Решению Коллегии   </w:t>
      </w:r>
    </w:p>
    <w:p>
      <w:pPr>
        <w:spacing w:after="0"/>
        <w:ind w:left="0"/>
        <w:jc w:val="both"/>
      </w:pPr>
      <w:r>
        <w:rPr>
          <w:rFonts w:ascii="Times New Roman"/>
          <w:b w:val="false"/>
          <w:i w:val="false"/>
          <w:color w:val="000000"/>
          <w:sz w:val="28"/>
        </w:rPr>
        <w:t xml:space="preserve">Евразийской экономической   </w:t>
      </w:r>
    </w:p>
    <w:p>
      <w:pPr>
        <w:spacing w:after="0"/>
        <w:ind w:left="0"/>
        <w:jc w:val="both"/>
      </w:pPr>
      <w:r>
        <w:rPr>
          <w:rFonts w:ascii="Times New Roman"/>
          <w:b w:val="false"/>
          <w:i w:val="false"/>
          <w:color w:val="000000"/>
          <w:sz w:val="28"/>
        </w:rPr>
        <w:t xml:space="preserve">комиссии   </w:t>
      </w:r>
    </w:p>
    <w:p>
      <w:pPr>
        <w:spacing w:after="0"/>
        <w:ind w:left="0"/>
        <w:jc w:val="both"/>
      </w:pPr>
      <w:r>
        <w:rPr>
          <w:rFonts w:ascii="Times New Roman"/>
          <w:b w:val="false"/>
          <w:i w:val="false"/>
          <w:color w:val="000000"/>
          <w:sz w:val="28"/>
        </w:rPr>
        <w:t>от 6 августа 2019 г. № 137</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Решение дополнено приложением № 2 в соответствии с решением Коллегии Евразийской экономической комиссии от 08.10.2019 </w:t>
      </w:r>
      <w:r>
        <w:rPr>
          <w:rFonts w:ascii="Times New Roman"/>
          <w:b w:val="false"/>
          <w:i w:val="false"/>
          <w:color w:val="000000"/>
          <w:sz w:val="28"/>
        </w:rPr>
        <w:t>№ 177</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bookmarkStart w:name="z23" w:id="16"/>
      <w:r>
        <w:rPr>
          <w:rFonts w:ascii="Times New Roman"/>
          <w:b w:val="false"/>
          <w:i w:val="false"/>
          <w:color w:val="000000"/>
          <w:sz w:val="28"/>
        </w:rPr>
        <w:t xml:space="preserve">
      </w:t>
      </w:r>
      <w:r>
        <w:rPr>
          <w:rFonts w:ascii="Times New Roman"/>
          <w:b/>
          <w:i w:val="false"/>
          <w:color w:val="000000"/>
          <w:sz w:val="28"/>
        </w:rPr>
        <w:t>ПОРЯДОК</w:t>
      </w:r>
    </w:p>
    <w:bookmarkEnd w:id="16"/>
    <w:p>
      <w:pPr>
        <w:spacing w:after="0"/>
        <w:ind w:left="0"/>
        <w:jc w:val="both"/>
      </w:pPr>
      <w:r>
        <w:rPr>
          <w:rFonts w:ascii="Times New Roman"/>
          <w:b/>
          <w:i w:val="false"/>
          <w:color w:val="000000"/>
          <w:sz w:val="28"/>
        </w:rPr>
        <w:t xml:space="preserve">применения специальной защитной меры в форме специальной квоты в отношении горячекатаного проката        </w:t>
      </w:r>
    </w:p>
    <w:bookmarkStart w:name="z24"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Общие положения        </w:t>
      </w:r>
    </w:p>
    <w:bookmarkEnd w:id="17"/>
    <w:bookmarkStart w:name="z25" w:id="18"/>
    <w:p>
      <w:pPr>
        <w:spacing w:after="0"/>
        <w:ind w:left="0"/>
        <w:jc w:val="both"/>
      </w:pPr>
      <w:r>
        <w:rPr>
          <w:rFonts w:ascii="Times New Roman"/>
          <w:b w:val="false"/>
          <w:i w:val="false"/>
          <w:color w:val="000000"/>
          <w:sz w:val="28"/>
        </w:rPr>
        <w:t xml:space="preserve">
      1. Настоящий Порядок разработан на основании </w:t>
      </w:r>
      <w:r>
        <w:rPr>
          <w:rFonts w:ascii="Times New Roman"/>
          <w:b w:val="false"/>
          <w:i w:val="false"/>
          <w:color w:val="000000"/>
          <w:sz w:val="28"/>
        </w:rPr>
        <w:t>пунктов 23</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и определяет правила применения специальной защитной меры в форме специальной квоты, установленной Решением Коллегии Евразийской экономической комиссии от 6 августа 2019 г. № 137, в отношении проката горячекатаного из углеродистых и легированных сталей в листах и рулонах, классифицируемого кодами 7208 10 000 0, 7208 25 000 0, 7208 26 000 0, 7208 27 000 0, 7208 36 000 0, 7208 37 000 0, 7208 38 000 0, 7208 39 000 0, 7208 40 000 0, 7208 51 200 1, 7208 51 200 9, 7208 51 910 0, 7208 51 980 0, 7208 52 100 0, 7208 52 910 0, 7208 52 990 0, 7208 53 100 0, 7208 53 900 0, 7208 54 000 0, 7208 90 200 0, 7208 90 800 0, 7211 13 000 0, 7211 14 000 0, 7211 19 000 0, 7225 30 100 0, 7225 30 300 0, 7225 30 900 0, 7225 40 120 1, 7225 40 120 9, 7225 40 150 1, 7225 40 150 9, 7225 40 400 0, 7225 40 600 0, 7225 40 900 0, 7226 91 200 0, 7226 91 910 0 и 7226 91 990 0 ТН ВЭД ЕАЭС (далее соответственно – специальная квота, товар).</w:t>
      </w:r>
    </w:p>
    <w:bookmarkEnd w:id="18"/>
    <w:bookmarkStart w:name="z26" w:id="19"/>
    <w:p>
      <w:pPr>
        <w:spacing w:after="0"/>
        <w:ind w:left="0"/>
        <w:jc w:val="both"/>
      </w:pPr>
      <w:r>
        <w:rPr>
          <w:rFonts w:ascii="Times New Roman"/>
          <w:b w:val="false"/>
          <w:i w:val="false"/>
          <w:color w:val="000000"/>
          <w:sz w:val="28"/>
        </w:rPr>
        <w:t xml:space="preserve">
      2. В период действия специальной квоты органы исполнительной власти государств – членов Евразийского экономического союза (далее соответственно – государства-члены, Союз), уполномоченные на выдачу лицензий на импорт товаров, или иные уполномоченные органы исполнительной власти государств-членов (далее – уполномоченные органы) осуществляют распределение объемов специальной квоты между участниками внешнеторговой деятельности и выдачу разовых лицензий на импорт товара в порядке, предусмотренном </w:t>
      </w:r>
      <w:r>
        <w:rPr>
          <w:rFonts w:ascii="Times New Roman"/>
          <w:b w:val="false"/>
          <w:i w:val="false"/>
          <w:color w:val="000000"/>
          <w:sz w:val="28"/>
        </w:rPr>
        <w:t>Протоколом</w:t>
      </w:r>
      <w:r>
        <w:rPr>
          <w:rFonts w:ascii="Times New Roman"/>
          <w:b w:val="false"/>
          <w:i w:val="false"/>
          <w:color w:val="000000"/>
          <w:sz w:val="28"/>
        </w:rPr>
        <w:t xml:space="preserve"> о мерах нетарифного регулирования в отношении третьих стран (приложение № 7 к Договору о Евразийском экономическом союзе от 29 мая 2014 года).</w:t>
      </w:r>
    </w:p>
    <w:bookmarkEnd w:id="19"/>
    <w:bookmarkStart w:name="z27" w:id="20"/>
    <w:p>
      <w:pPr>
        <w:spacing w:after="0"/>
        <w:ind w:left="0"/>
        <w:jc w:val="both"/>
      </w:pPr>
      <w:r>
        <w:rPr>
          <w:rFonts w:ascii="Times New Roman"/>
          <w:b w:val="false"/>
          <w:i w:val="false"/>
          <w:color w:val="000000"/>
          <w:sz w:val="28"/>
        </w:rPr>
        <w:t xml:space="preserve">
      3. Объем специальной квоты, подлежащий распределению между участниками внешнеторговой деятельности, составляет (в процентах от установленного в приложении № 1 к Решению Коллегии Евразийской экономической комиссии от 6 августа 2019 г. № 137 для государства-члена объема специальной квоты):  </w:t>
      </w:r>
    </w:p>
    <w:bookmarkEnd w:id="20"/>
    <w:bookmarkStart w:name="z28" w:id="21"/>
    <w:p>
      <w:pPr>
        <w:spacing w:after="0"/>
        <w:ind w:left="0"/>
        <w:jc w:val="both"/>
      </w:pPr>
      <w:r>
        <w:rPr>
          <w:rFonts w:ascii="Times New Roman"/>
          <w:b w:val="false"/>
          <w:i w:val="false"/>
          <w:color w:val="000000"/>
          <w:sz w:val="28"/>
        </w:rPr>
        <w:t>
      а) на период с 1 декабря 2019 г. по 31 марта 2020 г. включительно – 20 процентов;</w:t>
      </w:r>
    </w:p>
    <w:bookmarkEnd w:id="21"/>
    <w:bookmarkStart w:name="z29" w:id="22"/>
    <w:p>
      <w:pPr>
        <w:spacing w:after="0"/>
        <w:ind w:left="0"/>
        <w:jc w:val="both"/>
      </w:pPr>
      <w:r>
        <w:rPr>
          <w:rFonts w:ascii="Times New Roman"/>
          <w:b w:val="false"/>
          <w:i w:val="false"/>
          <w:color w:val="000000"/>
          <w:sz w:val="28"/>
        </w:rPr>
        <w:t xml:space="preserve">
      б) на период с 1 апреля 2020 г. по 31 июля 2020 г. включительно – 50 процентов; </w:t>
      </w:r>
    </w:p>
    <w:bookmarkEnd w:id="22"/>
    <w:bookmarkStart w:name="z30" w:id="23"/>
    <w:p>
      <w:pPr>
        <w:spacing w:after="0"/>
        <w:ind w:left="0"/>
        <w:jc w:val="both"/>
      </w:pPr>
      <w:r>
        <w:rPr>
          <w:rFonts w:ascii="Times New Roman"/>
          <w:b w:val="false"/>
          <w:i w:val="false"/>
          <w:color w:val="000000"/>
          <w:sz w:val="28"/>
        </w:rPr>
        <w:t>
      в) на период с 1 августа 2020 г. по 30 ноября 2020 г. включительно – 30 процентов.</w:t>
      </w:r>
    </w:p>
    <w:bookmarkEnd w:id="23"/>
    <w:bookmarkStart w:name="z31" w:id="24"/>
    <w:p>
      <w:pPr>
        <w:spacing w:after="0"/>
        <w:ind w:left="0"/>
        <w:jc w:val="both"/>
      </w:pPr>
      <w:r>
        <w:rPr>
          <w:rFonts w:ascii="Times New Roman"/>
          <w:b w:val="false"/>
          <w:i w:val="false"/>
          <w:color w:val="000000"/>
          <w:sz w:val="28"/>
        </w:rPr>
        <w:t>
      4. Срок действия разовой лицензии в соответствии с пунктом 9 приложения к Протоколу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составляет:</w:t>
      </w:r>
    </w:p>
    <w:bookmarkEnd w:id="24"/>
    <w:bookmarkStart w:name="z32" w:id="25"/>
    <w:p>
      <w:pPr>
        <w:spacing w:after="0"/>
        <w:ind w:left="0"/>
        <w:jc w:val="both"/>
      </w:pPr>
      <w:r>
        <w:rPr>
          <w:rFonts w:ascii="Times New Roman"/>
          <w:b w:val="false"/>
          <w:i w:val="false"/>
          <w:color w:val="000000"/>
          <w:sz w:val="28"/>
        </w:rPr>
        <w:t>
      а) в отношении периода, указанного в подпункте "а" пункта 3 настоящего Порядка, – по 31 декабря 2019 г. включительно или по 31 марта 2020 г. включительно;</w:t>
      </w:r>
    </w:p>
    <w:bookmarkEnd w:id="25"/>
    <w:bookmarkStart w:name="z33" w:id="26"/>
    <w:p>
      <w:pPr>
        <w:spacing w:after="0"/>
        <w:ind w:left="0"/>
        <w:jc w:val="both"/>
      </w:pPr>
      <w:r>
        <w:rPr>
          <w:rFonts w:ascii="Times New Roman"/>
          <w:b w:val="false"/>
          <w:i w:val="false"/>
          <w:color w:val="000000"/>
          <w:sz w:val="28"/>
        </w:rPr>
        <w:t>
      б) в отношении периода, указанного в подпункте "б" пункта 3 настоящего Порядка, – по 31 июля 2020 г. включительно;</w:t>
      </w:r>
    </w:p>
    <w:bookmarkEnd w:id="26"/>
    <w:bookmarkStart w:name="z34" w:id="27"/>
    <w:p>
      <w:pPr>
        <w:spacing w:after="0"/>
        <w:ind w:left="0"/>
        <w:jc w:val="both"/>
      </w:pPr>
      <w:r>
        <w:rPr>
          <w:rFonts w:ascii="Times New Roman"/>
          <w:b w:val="false"/>
          <w:i w:val="false"/>
          <w:color w:val="000000"/>
          <w:sz w:val="28"/>
        </w:rPr>
        <w:t>
      в) в отношении периода, указанного в подпункте "в" пункта 3 настоящего Порядка, – по 30 ноября 2020 г. включительно.</w:t>
      </w:r>
    </w:p>
    <w:bookmarkEnd w:id="27"/>
    <w:bookmarkStart w:name="z35" w:id="28"/>
    <w:p>
      <w:pPr>
        <w:spacing w:after="0"/>
        <w:ind w:left="0"/>
        <w:jc w:val="both"/>
      </w:pPr>
      <w:r>
        <w:rPr>
          <w:rFonts w:ascii="Times New Roman"/>
          <w:b w:val="false"/>
          <w:i w:val="false"/>
          <w:color w:val="000000"/>
          <w:sz w:val="28"/>
        </w:rPr>
        <w:t>
      5. Распределение между участниками внешнеторговой деятельности 85 процентов объема специальной квоты, подлежащего распределению на соответствующий период, предусмотренный пунктом 3 настоящего Порядка, осуществляется в соответствии с разделом II настоящего Порядка.</w:t>
      </w:r>
    </w:p>
    <w:bookmarkEnd w:id="28"/>
    <w:bookmarkStart w:name="z36" w:id="29"/>
    <w:p>
      <w:pPr>
        <w:spacing w:after="0"/>
        <w:ind w:left="0"/>
        <w:jc w:val="both"/>
      </w:pPr>
      <w:r>
        <w:rPr>
          <w:rFonts w:ascii="Times New Roman"/>
          <w:b w:val="false"/>
          <w:i w:val="false"/>
          <w:color w:val="000000"/>
          <w:sz w:val="28"/>
        </w:rPr>
        <w:t>
      6. Распределение между участниками внешнеторговой деятельности 15 процентов объема специальной квоты, подлежащего распределению на соответствующий период, предусмотренный пунктом 3 настоящего Порядка, осуществляется в соответствии с разделом III настоящего Порядка.</w:t>
      </w:r>
    </w:p>
    <w:bookmarkEnd w:id="29"/>
    <w:bookmarkStart w:name="z37" w:id="30"/>
    <w:p>
      <w:pPr>
        <w:spacing w:after="0"/>
        <w:ind w:left="0"/>
        <w:jc w:val="both"/>
      </w:pPr>
      <w:r>
        <w:rPr>
          <w:rFonts w:ascii="Times New Roman"/>
          <w:b w:val="false"/>
          <w:i w:val="false"/>
          <w:color w:val="000000"/>
          <w:sz w:val="28"/>
        </w:rPr>
        <w:t>
      7. Для получения части объема специальной квоты участниками внешнеторговой деятельности представляются в уполномоченный орган следующие документы:</w:t>
      </w:r>
    </w:p>
    <w:bookmarkEnd w:id="30"/>
    <w:bookmarkStart w:name="z38" w:id="31"/>
    <w:p>
      <w:pPr>
        <w:spacing w:after="0"/>
        <w:ind w:left="0"/>
        <w:jc w:val="both"/>
      </w:pPr>
      <w:r>
        <w:rPr>
          <w:rFonts w:ascii="Times New Roman"/>
          <w:b w:val="false"/>
          <w:i w:val="false"/>
          <w:color w:val="000000"/>
          <w:sz w:val="28"/>
        </w:rPr>
        <w:t>
      а) заявка на получение части объема специальной квоты с указанием количества товара (в килограммах), предполагаемого к ввозу на таможенную территорию Союза в соответствующем периоде, предусмотренном пунктом 3 настоящего Порядка, а также сроков такой поставки (далее – заявка);</w:t>
      </w:r>
    </w:p>
    <w:bookmarkEnd w:id="31"/>
    <w:bookmarkStart w:name="z39" w:id="32"/>
    <w:p>
      <w:pPr>
        <w:spacing w:after="0"/>
        <w:ind w:left="0"/>
        <w:jc w:val="both"/>
      </w:pPr>
      <w:r>
        <w:rPr>
          <w:rFonts w:ascii="Times New Roman"/>
          <w:b w:val="false"/>
          <w:i w:val="false"/>
          <w:color w:val="000000"/>
          <w:sz w:val="28"/>
        </w:rPr>
        <w:t>
      б) копии подписанных внешнеторгового договора (контракта), приложений, и (или) спецификаций, и (или) дополнений к нему, обосновывающих количество товара (в килограммах), указанное в заявке;</w:t>
      </w:r>
    </w:p>
    <w:bookmarkEnd w:id="32"/>
    <w:bookmarkStart w:name="z40" w:id="33"/>
    <w:p>
      <w:pPr>
        <w:spacing w:after="0"/>
        <w:ind w:left="0"/>
        <w:jc w:val="both"/>
      </w:pPr>
      <w:r>
        <w:rPr>
          <w:rFonts w:ascii="Times New Roman"/>
          <w:b w:val="false"/>
          <w:i w:val="false"/>
          <w:color w:val="000000"/>
          <w:sz w:val="28"/>
        </w:rPr>
        <w:t>
      в) копия документа (сведения, если это предусмотрено законодательством государства-члена) о постановке на учет в налоговом органе или о государственной регистрации.</w:t>
      </w:r>
    </w:p>
    <w:bookmarkEnd w:id="33"/>
    <w:bookmarkStart w:name="z41" w:id="34"/>
    <w:p>
      <w:pPr>
        <w:spacing w:after="0"/>
        <w:ind w:left="0"/>
        <w:jc w:val="both"/>
      </w:pPr>
      <w:r>
        <w:rPr>
          <w:rFonts w:ascii="Times New Roman"/>
          <w:b w:val="false"/>
          <w:i w:val="false"/>
          <w:color w:val="000000"/>
          <w:sz w:val="28"/>
        </w:rPr>
        <w:t>
      8. Основанием для отказа в выделении участнику внешнеторговой деятельности части объема специальной квоты является:</w:t>
      </w:r>
    </w:p>
    <w:bookmarkEnd w:id="34"/>
    <w:bookmarkStart w:name="z42" w:id="35"/>
    <w:p>
      <w:pPr>
        <w:spacing w:after="0"/>
        <w:ind w:left="0"/>
        <w:jc w:val="both"/>
      </w:pPr>
      <w:r>
        <w:rPr>
          <w:rFonts w:ascii="Times New Roman"/>
          <w:b w:val="false"/>
          <w:i w:val="false"/>
          <w:color w:val="000000"/>
          <w:sz w:val="28"/>
        </w:rPr>
        <w:t>
      а) наличие неполных или недостоверных сведений в документах, представленных в соответствии с пунктом 7 настоящего Порядка;</w:t>
      </w:r>
    </w:p>
    <w:bookmarkEnd w:id="35"/>
    <w:bookmarkStart w:name="z43" w:id="36"/>
    <w:p>
      <w:pPr>
        <w:spacing w:after="0"/>
        <w:ind w:left="0"/>
        <w:jc w:val="both"/>
      </w:pPr>
      <w:r>
        <w:rPr>
          <w:rFonts w:ascii="Times New Roman"/>
          <w:b w:val="false"/>
          <w:i w:val="false"/>
          <w:color w:val="000000"/>
          <w:sz w:val="28"/>
        </w:rPr>
        <w:t>
      б) непредставление документов (сведений), указанных в пункте 7 настоящего Порядка, в полном объеме;</w:t>
      </w:r>
    </w:p>
    <w:bookmarkEnd w:id="36"/>
    <w:bookmarkStart w:name="z44" w:id="37"/>
    <w:p>
      <w:pPr>
        <w:spacing w:after="0"/>
        <w:ind w:left="0"/>
        <w:jc w:val="both"/>
      </w:pPr>
      <w:r>
        <w:rPr>
          <w:rFonts w:ascii="Times New Roman"/>
          <w:b w:val="false"/>
          <w:i w:val="false"/>
          <w:color w:val="000000"/>
          <w:sz w:val="28"/>
        </w:rPr>
        <w:t>
      в) прекращение или приостановление действия одного или нескольких документов, указанных в пункте 7 настоящего Порядка;</w:t>
      </w:r>
    </w:p>
    <w:bookmarkEnd w:id="37"/>
    <w:bookmarkStart w:name="z45" w:id="38"/>
    <w:p>
      <w:pPr>
        <w:spacing w:after="0"/>
        <w:ind w:left="0"/>
        <w:jc w:val="both"/>
      </w:pPr>
      <w:r>
        <w:rPr>
          <w:rFonts w:ascii="Times New Roman"/>
          <w:b w:val="false"/>
          <w:i w:val="false"/>
          <w:color w:val="000000"/>
          <w:sz w:val="28"/>
        </w:rPr>
        <w:t>
      г) пропуск срока подачи заявки, предусмотренного пунктами 9, 17, 26, 34 или 44 настоящего Порядка.</w:t>
      </w:r>
    </w:p>
    <w:bookmarkEnd w:id="38"/>
    <w:bookmarkStart w:name="z46"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Исторический принцип распределения </w:t>
      </w:r>
    </w:p>
    <w:bookmarkEnd w:id="39"/>
    <w:bookmarkStart w:name="z47" w:id="40"/>
    <w:p>
      <w:pPr>
        <w:spacing w:after="0"/>
        <w:ind w:left="0"/>
        <w:jc w:val="both"/>
      </w:pPr>
      <w:r>
        <w:rPr>
          <w:rFonts w:ascii="Times New Roman"/>
          <w:b w:val="false"/>
          <w:i w:val="false"/>
          <w:color w:val="000000"/>
          <w:sz w:val="28"/>
        </w:rPr>
        <w:t>
      9. Для получения части объема специальной квоты, предусмотренного пунктом 5 настоящего Порядка, участниками внешнеторговой деятельности подаются в уполномоченный орган документы, указанные в пункте 7 настоящего Порядка, в следующие сроки:</w:t>
      </w:r>
    </w:p>
    <w:bookmarkEnd w:id="40"/>
    <w:bookmarkStart w:name="z48" w:id="41"/>
    <w:p>
      <w:pPr>
        <w:spacing w:after="0"/>
        <w:ind w:left="0"/>
        <w:jc w:val="both"/>
      </w:pPr>
      <w:r>
        <w:rPr>
          <w:rFonts w:ascii="Times New Roman"/>
          <w:b w:val="false"/>
          <w:i w:val="false"/>
          <w:color w:val="000000"/>
          <w:sz w:val="28"/>
        </w:rPr>
        <w:t>
      а) по 12 ноября 2019 г. включительно – в отношении объема специальной квоты на период, указанный в подпункте "а" пункта 3 настоящего Порядка;</w:t>
      </w:r>
    </w:p>
    <w:bookmarkEnd w:id="41"/>
    <w:bookmarkStart w:name="z49" w:id="42"/>
    <w:p>
      <w:pPr>
        <w:spacing w:after="0"/>
        <w:ind w:left="0"/>
        <w:jc w:val="both"/>
      </w:pPr>
      <w:r>
        <w:rPr>
          <w:rFonts w:ascii="Times New Roman"/>
          <w:b w:val="false"/>
          <w:i w:val="false"/>
          <w:color w:val="000000"/>
          <w:sz w:val="28"/>
        </w:rPr>
        <w:t>
      б) по 10 февраля 2020 г. включительно – в отношении объема специальной квоты на период, указанный в подпункте "б" пункта 3 настоящего Порядка;</w:t>
      </w:r>
    </w:p>
    <w:bookmarkEnd w:id="42"/>
    <w:bookmarkStart w:name="z50" w:id="43"/>
    <w:p>
      <w:pPr>
        <w:spacing w:after="0"/>
        <w:ind w:left="0"/>
        <w:jc w:val="both"/>
      </w:pPr>
      <w:r>
        <w:rPr>
          <w:rFonts w:ascii="Times New Roman"/>
          <w:b w:val="false"/>
          <w:i w:val="false"/>
          <w:color w:val="000000"/>
          <w:sz w:val="28"/>
        </w:rPr>
        <w:t>
      в) по 10 июня 2020 г. включительно – в отношении объема специальной квоты на период, указанный в подпункте "в" пункта 3 настоящего Порядка.</w:t>
      </w:r>
    </w:p>
    <w:bookmarkEnd w:id="43"/>
    <w:bookmarkStart w:name="z51" w:id="44"/>
    <w:p>
      <w:pPr>
        <w:spacing w:after="0"/>
        <w:ind w:left="0"/>
        <w:jc w:val="both"/>
      </w:pPr>
      <w:r>
        <w:rPr>
          <w:rFonts w:ascii="Times New Roman"/>
          <w:b w:val="false"/>
          <w:i w:val="false"/>
          <w:color w:val="000000"/>
          <w:sz w:val="28"/>
        </w:rPr>
        <w:t>
      10. Заявка, отозванная участником внешнеторговой деятельности до истечения срока подачи заявок, предусмотренного пунктом 9 настоящего Порядка, считается неподанной.</w:t>
      </w:r>
    </w:p>
    <w:bookmarkEnd w:id="44"/>
    <w:bookmarkStart w:name="z52" w:id="45"/>
    <w:p>
      <w:pPr>
        <w:spacing w:after="0"/>
        <w:ind w:left="0"/>
        <w:jc w:val="both"/>
      </w:pPr>
      <w:r>
        <w:rPr>
          <w:rFonts w:ascii="Times New Roman"/>
          <w:b w:val="false"/>
          <w:i w:val="false"/>
          <w:color w:val="000000"/>
          <w:sz w:val="28"/>
        </w:rPr>
        <w:t>
      11. Объем специальной квоты распределяется уполномоченным органом между участниками внешнеторговой деятельности, подавшими заявки, не позднее 7 рабочих дней с даты окончания срока подачи заявок, предусмотренного пунктом 9 настоящего Порядка, в соответствии с пунктами 12 – 15 настоящего Порядка.</w:t>
      </w:r>
    </w:p>
    <w:bookmarkEnd w:id="45"/>
    <w:bookmarkStart w:name="z53" w:id="46"/>
    <w:p>
      <w:pPr>
        <w:spacing w:after="0"/>
        <w:ind w:left="0"/>
        <w:jc w:val="both"/>
      </w:pPr>
      <w:r>
        <w:rPr>
          <w:rFonts w:ascii="Times New Roman"/>
          <w:b w:val="false"/>
          <w:i w:val="false"/>
          <w:color w:val="000000"/>
          <w:sz w:val="28"/>
        </w:rPr>
        <w:t>
      12. В случае если совокупное количество товара (в килограммах), указанное во всех заявках, поданных в соответствии с пунктом 9 настоящего Порядка, превышает объем специальной квоты, подлежащий распределению на соответствующий период, предусмотренный пунктом 3 настоящего Порядка, объем специальной квоты распределяется между участниками внешнеторговой деятельности на основании данных таможенной статистики пропорционально доле объема ввоза ими на территорию государства-члена товара, помещенного под таможенные процедуры выпуска для внутреннего потребления или переработки для внутреннего потребления, в общем объеме ввоза подавшими заявки участниками внешнеторговой деятельности на территорию этого государства-члена товара, помещенного под таможенные процедуры выпуска для внутреннего потребления или переработки для внутреннего потребления, в течение расчетного периода.</w:t>
      </w:r>
    </w:p>
    <w:bookmarkEnd w:id="46"/>
    <w:bookmarkStart w:name="z54" w:id="47"/>
    <w:p>
      <w:pPr>
        <w:spacing w:after="0"/>
        <w:ind w:left="0"/>
        <w:jc w:val="both"/>
      </w:pPr>
      <w:r>
        <w:rPr>
          <w:rFonts w:ascii="Times New Roman"/>
          <w:b w:val="false"/>
          <w:i w:val="false"/>
          <w:color w:val="000000"/>
          <w:sz w:val="28"/>
        </w:rPr>
        <w:t>
      Под расчетным периодом при распределении объема специальной квоты на периоды, указанные в пункте 3 настоящего Порядка, понимаются 2015 – 2018 годы.</w:t>
      </w:r>
    </w:p>
    <w:bookmarkEnd w:id="47"/>
    <w:bookmarkStart w:name="z55" w:id="48"/>
    <w:p>
      <w:pPr>
        <w:spacing w:after="0"/>
        <w:ind w:left="0"/>
        <w:jc w:val="both"/>
      </w:pPr>
      <w:r>
        <w:rPr>
          <w:rFonts w:ascii="Times New Roman"/>
          <w:b w:val="false"/>
          <w:i w:val="false"/>
          <w:color w:val="000000"/>
          <w:sz w:val="28"/>
        </w:rPr>
        <w:t>
      13. Для расчета части объема специальной квоты, выделяемой участнику внешнеторговой деятельности, в соответствии с пунктом 12 настоящего Порядка используется следующая формула:</w:t>
      </w:r>
    </w:p>
    <w:bookmarkEnd w:id="48"/>
    <w:bookmarkStart w:name="z56" w:id="49"/>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iучВТД</w:t>
      </w:r>
      <w:r>
        <w:rPr>
          <w:rFonts w:ascii="Times New Roman"/>
          <w:b w:val="false"/>
          <w:i w:val="false"/>
          <w:color w:val="000000"/>
          <w:vertAlign w:val="subscript"/>
        </w:rPr>
        <w:t xml:space="preserve"> </w:t>
      </w:r>
      <w:r>
        <w:rPr>
          <w:rFonts w:ascii="Times New Roman"/>
          <w:b w:val="false"/>
          <w:i w:val="false"/>
          <w:color w:val="000000"/>
          <w:sz w:val="28"/>
        </w:rPr>
        <w:t>× K</w:t>
      </w:r>
      <w:r>
        <w:rPr>
          <w:rFonts w:ascii="Times New Roman"/>
          <w:b w:val="false"/>
          <w:i w:val="false"/>
          <w:color w:val="000000"/>
          <w:vertAlign w:val="subscript"/>
        </w:rPr>
        <w:t>год</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xml:space="preserve">
      где: </w:t>
      </w:r>
    </w:p>
    <w:bookmarkEnd w:id="50"/>
    <w:bookmarkStart w:name="z58" w:id="51"/>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часть объема специальной квоты, выделяемая i-му участнику внешнеторговой деятельности;</w:t>
      </w:r>
    </w:p>
    <w:bookmarkEnd w:id="51"/>
    <w:bookmarkStart w:name="z59" w:id="52"/>
    <w:p>
      <w:pPr>
        <w:spacing w:after="0"/>
        <w:ind w:left="0"/>
        <w:jc w:val="both"/>
      </w:pPr>
      <w:r>
        <w:rPr>
          <w:rFonts w:ascii="Times New Roman"/>
          <w:b w:val="false"/>
          <w:i w:val="false"/>
          <w:color w:val="000000"/>
          <w:sz w:val="28"/>
        </w:rPr>
        <w:t>
      V</w:t>
      </w:r>
      <w:r>
        <w:rPr>
          <w:rFonts w:ascii="Times New Roman"/>
          <w:b w:val="false"/>
          <w:i w:val="false"/>
          <w:color w:val="000000"/>
          <w:vertAlign w:val="subscript"/>
        </w:rPr>
        <w:t>iучВТД</w:t>
      </w:r>
      <w:r>
        <w:rPr>
          <w:rFonts w:ascii="Times New Roman"/>
          <w:b w:val="false"/>
          <w:i w:val="false"/>
          <w:color w:val="000000"/>
          <w:sz w:val="28"/>
        </w:rPr>
        <w:t xml:space="preserve"> – объем ввоза i-м участником внешнеторговой деятельности на территорию государства-члена товара, помещенного под таможенные процедуры выпуска для внутреннего потребления или переработки для внутреннего потребления, в течение расчетного периода;</w:t>
      </w:r>
    </w:p>
    <w:bookmarkEnd w:id="52"/>
    <w:bookmarkStart w:name="z60" w:id="53"/>
    <w:p>
      <w:pPr>
        <w:spacing w:after="0"/>
        <w:ind w:left="0"/>
        <w:jc w:val="both"/>
      </w:pPr>
      <w:r>
        <w:rPr>
          <w:rFonts w:ascii="Times New Roman"/>
          <w:b w:val="false"/>
          <w:i w:val="false"/>
          <w:color w:val="000000"/>
          <w:sz w:val="28"/>
        </w:rPr>
        <w:t>
      K</w:t>
      </w:r>
      <w:r>
        <w:rPr>
          <w:rFonts w:ascii="Times New Roman"/>
          <w:b w:val="false"/>
          <w:i w:val="false"/>
          <w:color w:val="000000"/>
          <w:vertAlign w:val="subscript"/>
        </w:rPr>
        <w:t>год</w:t>
      </w:r>
      <w:r>
        <w:rPr>
          <w:rFonts w:ascii="Times New Roman"/>
          <w:b w:val="false"/>
          <w:i w:val="false"/>
          <w:color w:val="000000"/>
          <w:sz w:val="28"/>
        </w:rPr>
        <w:t xml:space="preserve"> – коэффициент изменения объема ввоза товара. </w:t>
      </w:r>
    </w:p>
    <w:bookmarkEnd w:id="53"/>
    <w:bookmarkStart w:name="z61" w:id="5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год</w:t>
      </w:r>
      <w:r>
        <w:rPr>
          <w:rFonts w:ascii="Times New Roman"/>
          <w:b w:val="false"/>
          <w:i w:val="false"/>
          <w:color w:val="000000"/>
          <w:sz w:val="28"/>
        </w:rPr>
        <w:t xml:space="preserve"> рассчитывается по следующей формуле:</w:t>
      </w:r>
    </w:p>
    <w:bookmarkEnd w:id="54"/>
    <w:bookmarkStart w:name="z62" w:id="55"/>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год</w:t>
      </w:r>
      <w:r>
        <w:rPr>
          <w:rFonts w:ascii="Times New Roman"/>
          <w:b w:val="false"/>
          <w:i w:val="false"/>
          <w:color w:val="000000"/>
          <w:sz w:val="28"/>
        </w:rPr>
        <w:t xml:space="preserve"> = V</w:t>
      </w:r>
      <w:r>
        <w:rPr>
          <w:rFonts w:ascii="Times New Roman"/>
          <w:b w:val="false"/>
          <w:i w:val="false"/>
          <w:color w:val="000000"/>
          <w:vertAlign w:val="subscript"/>
        </w:rPr>
        <w:t>квоты</w:t>
      </w:r>
      <w:r>
        <w:rPr>
          <w:rFonts w:ascii="Times New Roman"/>
          <w:b w:val="false"/>
          <w:i w:val="false"/>
          <w:color w:val="000000"/>
          <w:sz w:val="28"/>
        </w:rPr>
        <w:t xml:space="preserve"> / V</w:t>
      </w:r>
      <w:r>
        <w:rPr>
          <w:rFonts w:ascii="Times New Roman"/>
          <w:b w:val="false"/>
          <w:i w:val="false"/>
          <w:color w:val="000000"/>
          <w:vertAlign w:val="subscript"/>
        </w:rPr>
        <w:t>ввоза</w:t>
      </w:r>
      <w:r>
        <w:rPr>
          <w:rFonts w:ascii="Times New Roman"/>
          <w:b w:val="false"/>
          <w:i w:val="false"/>
          <w:color w:val="000000"/>
          <w:sz w:val="28"/>
        </w:rPr>
        <w:t>,</w:t>
      </w:r>
    </w:p>
    <w:bookmarkEnd w:id="55"/>
    <w:bookmarkStart w:name="z63" w:id="56"/>
    <w:p>
      <w:pPr>
        <w:spacing w:after="0"/>
        <w:ind w:left="0"/>
        <w:jc w:val="both"/>
      </w:pPr>
      <w:r>
        <w:rPr>
          <w:rFonts w:ascii="Times New Roman"/>
          <w:b w:val="false"/>
          <w:i w:val="false"/>
          <w:color w:val="000000"/>
          <w:sz w:val="28"/>
        </w:rPr>
        <w:t xml:space="preserve">
      где: </w:t>
      </w:r>
    </w:p>
    <w:bookmarkEnd w:id="56"/>
    <w:bookmarkStart w:name="z64" w:id="5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квоты</w:t>
      </w:r>
      <w:r>
        <w:rPr>
          <w:rFonts w:ascii="Times New Roman"/>
          <w:b w:val="false"/>
          <w:i w:val="false"/>
          <w:color w:val="000000"/>
          <w:vertAlign w:val="subscript"/>
        </w:rPr>
        <w:t xml:space="preserve"> </w:t>
      </w:r>
      <w:r>
        <w:rPr>
          <w:rFonts w:ascii="Times New Roman"/>
          <w:b w:val="false"/>
          <w:i w:val="false"/>
          <w:color w:val="000000"/>
          <w:sz w:val="28"/>
        </w:rPr>
        <w:t>– объем специальной квоты, подлежащий распределению на соответствующий период, предусмотренный пунктом 3 настоящего Порядка;</w:t>
      </w:r>
    </w:p>
    <w:bookmarkEnd w:id="57"/>
    <w:bookmarkStart w:name="z65" w:id="5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ввоза</w:t>
      </w:r>
      <w:r>
        <w:rPr>
          <w:rFonts w:ascii="Times New Roman"/>
          <w:b w:val="false"/>
          <w:i w:val="false"/>
          <w:color w:val="000000"/>
          <w:sz w:val="28"/>
        </w:rPr>
        <w:t xml:space="preserve"> – объем ввоза подавшими заявки участниками внешнеторговой деятельности на территорию государства-члена товара, помещенного под таможенные процедуры выпуска для внутреннего потребления или переработки для внутреннего потребления, в течение расчетного периода.</w:t>
      </w:r>
    </w:p>
    <w:bookmarkEnd w:id="58"/>
    <w:bookmarkStart w:name="z66" w:id="59"/>
    <w:p>
      <w:pPr>
        <w:spacing w:after="0"/>
        <w:ind w:left="0"/>
        <w:jc w:val="both"/>
      </w:pPr>
      <w:r>
        <w:rPr>
          <w:rFonts w:ascii="Times New Roman"/>
          <w:b w:val="false"/>
          <w:i w:val="false"/>
          <w:color w:val="000000"/>
          <w:sz w:val="28"/>
        </w:rPr>
        <w:t>
      14. В случае если в заявке, поданной в соответствии с пунктом 9 настоящего Порядка, указано количество товара, превышающее объем специальной квоты, подлежащий распределению на соответствующий период, предусмотренный пунктом 3 настоящего Порядка, заявленное участником внешнеторговой деятельности количество товара признается равным объему специальной квоты, подлежащему распределению на соответствующий период.</w:t>
      </w:r>
    </w:p>
    <w:bookmarkEnd w:id="59"/>
    <w:bookmarkStart w:name="z67" w:id="60"/>
    <w:p>
      <w:pPr>
        <w:spacing w:after="0"/>
        <w:ind w:left="0"/>
        <w:jc w:val="both"/>
      </w:pPr>
      <w:r>
        <w:rPr>
          <w:rFonts w:ascii="Times New Roman"/>
          <w:b w:val="false"/>
          <w:i w:val="false"/>
          <w:color w:val="000000"/>
          <w:sz w:val="28"/>
        </w:rPr>
        <w:t>
      15. В случае если совокупное количество товара (в килограммах), указанное во всех заявках, поданных в соответствии с пунктом 9 настоящего Порядка, не превышает объем специальной квоты, подлежащий распределению на соответствующий период, предусмотренный пунктом 3 настоящего Порядка, объем специальной квоты распределяется между участниками внешнеторговой деятельности по количеству товара (в килограммах), указанному в заявках.</w:t>
      </w:r>
    </w:p>
    <w:bookmarkEnd w:id="60"/>
    <w:bookmarkStart w:name="z68" w:id="61"/>
    <w:p>
      <w:pPr>
        <w:spacing w:after="0"/>
        <w:ind w:left="0"/>
        <w:jc w:val="both"/>
      </w:pPr>
      <w:r>
        <w:rPr>
          <w:rFonts w:ascii="Times New Roman"/>
          <w:b w:val="false"/>
          <w:i w:val="false"/>
          <w:color w:val="000000"/>
          <w:sz w:val="28"/>
        </w:rPr>
        <w:t>
      16. Уполномоченные органы не позднее 7 рабочих дней с даты окончания срока подачи заявок, установленного пунктом 9 настоящего Порядка, обеспечивают публикацию на своих официальных сайтах в информационно-телекоммуникационной сети "Интернет" информации о наличии нераспределенного объема специальной квоты или о том, что объем специальной квоты был распределен полностью.</w:t>
      </w:r>
    </w:p>
    <w:bookmarkEnd w:id="61"/>
    <w:bookmarkStart w:name="z69" w:id="62"/>
    <w:p>
      <w:pPr>
        <w:spacing w:after="0"/>
        <w:ind w:left="0"/>
        <w:jc w:val="both"/>
      </w:pPr>
      <w:r>
        <w:rPr>
          <w:rFonts w:ascii="Times New Roman"/>
          <w:b w:val="false"/>
          <w:i w:val="false"/>
          <w:color w:val="000000"/>
          <w:sz w:val="28"/>
        </w:rPr>
        <w:t xml:space="preserve">
      17. Для получения нераспределенного объема специальной квоты участниками внешнеторговой деятельности, которыми в течение расчетного периода осуществлялся ввоз товара с помещением под таможенные процедуры выпуска для внутреннего потребления или переработки для внутреннего потребления, подаются в уполномоченный орган документы, указанные в пункте 7 настоящего Порядка, в следующие сроки: </w:t>
      </w:r>
    </w:p>
    <w:bookmarkEnd w:id="62"/>
    <w:bookmarkStart w:name="z70" w:id="63"/>
    <w:p>
      <w:pPr>
        <w:spacing w:after="0"/>
        <w:ind w:left="0"/>
        <w:jc w:val="both"/>
      </w:pPr>
      <w:r>
        <w:rPr>
          <w:rFonts w:ascii="Times New Roman"/>
          <w:b w:val="false"/>
          <w:i w:val="false"/>
          <w:color w:val="000000"/>
          <w:sz w:val="28"/>
        </w:rPr>
        <w:t>
      а) по 4 декабря 2019 г. включительно – в отношении объема специальной квоты на период, указанный в подпункте "а" пункта 3 настоящего Порядка;</w:t>
      </w:r>
    </w:p>
    <w:bookmarkEnd w:id="63"/>
    <w:bookmarkStart w:name="z71" w:id="64"/>
    <w:p>
      <w:pPr>
        <w:spacing w:after="0"/>
        <w:ind w:left="0"/>
        <w:jc w:val="both"/>
      </w:pPr>
      <w:r>
        <w:rPr>
          <w:rFonts w:ascii="Times New Roman"/>
          <w:b w:val="false"/>
          <w:i w:val="false"/>
          <w:color w:val="000000"/>
          <w:sz w:val="28"/>
        </w:rPr>
        <w:t xml:space="preserve">
      б) по 30 апреля 2020 г. включительно – в отношении объема специальной квоты на период, указанный в подпункте "б" пункта 3 настоящего Порядка; </w:t>
      </w:r>
    </w:p>
    <w:bookmarkEnd w:id="64"/>
    <w:bookmarkStart w:name="z72" w:id="65"/>
    <w:p>
      <w:pPr>
        <w:spacing w:after="0"/>
        <w:ind w:left="0"/>
        <w:jc w:val="both"/>
      </w:pPr>
      <w:r>
        <w:rPr>
          <w:rFonts w:ascii="Times New Roman"/>
          <w:b w:val="false"/>
          <w:i w:val="false"/>
          <w:color w:val="000000"/>
          <w:sz w:val="28"/>
        </w:rPr>
        <w:t>
      в) по 31 августа 2020 г. включительно – в отношении объема специальной квоты на период, указанный в подпункте "в" пункта 3 настоящего Порядка.</w:t>
      </w:r>
    </w:p>
    <w:bookmarkEnd w:id="65"/>
    <w:bookmarkStart w:name="z73" w:id="66"/>
    <w:p>
      <w:pPr>
        <w:spacing w:after="0"/>
        <w:ind w:left="0"/>
        <w:jc w:val="both"/>
      </w:pPr>
      <w:r>
        <w:rPr>
          <w:rFonts w:ascii="Times New Roman"/>
          <w:b w:val="false"/>
          <w:i w:val="false"/>
          <w:color w:val="000000"/>
          <w:sz w:val="28"/>
        </w:rPr>
        <w:t>
      18. Заявка, отозванная участником внешнеторговой деятельности до истечения срока подачи заявок, предусмотренного пунктом 17 настоящего Порядка, считается неподанной.</w:t>
      </w:r>
    </w:p>
    <w:bookmarkEnd w:id="66"/>
    <w:bookmarkStart w:name="z74" w:id="67"/>
    <w:p>
      <w:pPr>
        <w:spacing w:after="0"/>
        <w:ind w:left="0"/>
        <w:jc w:val="both"/>
      </w:pPr>
      <w:r>
        <w:rPr>
          <w:rFonts w:ascii="Times New Roman"/>
          <w:b w:val="false"/>
          <w:i w:val="false"/>
          <w:color w:val="000000"/>
          <w:sz w:val="28"/>
        </w:rPr>
        <w:t>
      19. Нераспределенный объем специальной квоты распределяется уполномоченным органом между участниками внешнеторговой деятельности, подавшими заявки, не позднее 7 рабочих дней с даты окончания срока подачи заявок, предусмотренного пунктом 17 настоящего Порядка, в соответствии с пунктами 20 – 23 настоящего Порядка.</w:t>
      </w:r>
    </w:p>
    <w:bookmarkEnd w:id="67"/>
    <w:bookmarkStart w:name="z75" w:id="68"/>
    <w:p>
      <w:pPr>
        <w:spacing w:after="0"/>
        <w:ind w:left="0"/>
        <w:jc w:val="both"/>
      </w:pPr>
      <w:r>
        <w:rPr>
          <w:rFonts w:ascii="Times New Roman"/>
          <w:b w:val="false"/>
          <w:i w:val="false"/>
          <w:color w:val="000000"/>
          <w:sz w:val="28"/>
        </w:rPr>
        <w:t>
      20. В случае если совокупное количество товара (в килограммах), указанное во всех заявках, поданных в соответствии с пунктом 17 настоящего Порядка, превышает нераспределенный объем специальной квоты, нераспределенный объем специальный квоты распределяется между участниками внешнеторговой деятельности пропорционально доле количества товара (в килограммах), указанного в заявке участника внешнеторговой деятельности, в общем количестве товара (в килограммах), указанном во всех заявках участников внешнеторговой деятельности.</w:t>
      </w:r>
    </w:p>
    <w:bookmarkEnd w:id="68"/>
    <w:bookmarkStart w:name="z76" w:id="69"/>
    <w:p>
      <w:pPr>
        <w:spacing w:after="0"/>
        <w:ind w:left="0"/>
        <w:jc w:val="both"/>
      </w:pPr>
      <w:r>
        <w:rPr>
          <w:rFonts w:ascii="Times New Roman"/>
          <w:b w:val="false"/>
          <w:i w:val="false"/>
          <w:color w:val="000000"/>
          <w:sz w:val="28"/>
        </w:rPr>
        <w:t>
      21. Для расчета части объема специальной квоты, выделяемой участнику внешнеторговой деятельности, в соответствии с пунктом 20 настоящего Порядка используется следующая формула:</w:t>
      </w:r>
    </w:p>
    <w:bookmarkEnd w:id="69"/>
    <w:bookmarkStart w:name="z77" w:id="70"/>
    <w:p>
      <w:pPr>
        <w:spacing w:after="0"/>
        <w:ind w:left="0"/>
        <w:jc w:val="both"/>
      </w:pPr>
      <w:r>
        <w:rPr>
          <w:rFonts w:ascii="Times New Roman"/>
          <w:b w:val="false"/>
          <w:i w:val="false"/>
          <w:color w:val="000000"/>
          <w:sz w:val="28"/>
        </w:rPr>
        <w:t>
      V</w:t>
      </w:r>
      <w:r>
        <w:rPr>
          <w:rFonts w:ascii="Times New Roman"/>
          <w:b w:val="false"/>
          <w:i w:val="false"/>
          <w:color w:val="000000"/>
          <w:vertAlign w:val="subscript"/>
        </w:rPr>
        <w:t>iост</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iзаяв</w:t>
      </w:r>
      <w:r>
        <w:rPr>
          <w:rFonts w:ascii="Times New Roman"/>
          <w:b w:val="false"/>
          <w:i w:val="false"/>
          <w:color w:val="000000"/>
          <w:sz w:val="28"/>
        </w:rPr>
        <w:t xml:space="preserve"> × D,</w:t>
      </w:r>
    </w:p>
    <w:bookmarkEnd w:id="70"/>
    <w:bookmarkStart w:name="z78" w:id="71"/>
    <w:p>
      <w:pPr>
        <w:spacing w:after="0"/>
        <w:ind w:left="0"/>
        <w:jc w:val="both"/>
      </w:pPr>
      <w:r>
        <w:rPr>
          <w:rFonts w:ascii="Times New Roman"/>
          <w:b w:val="false"/>
          <w:i w:val="false"/>
          <w:color w:val="000000"/>
          <w:sz w:val="28"/>
        </w:rPr>
        <w:t>
      где:</w:t>
      </w:r>
    </w:p>
    <w:bookmarkEnd w:id="71"/>
    <w:bookmarkStart w:name="z79" w:id="72"/>
    <w:p>
      <w:pPr>
        <w:spacing w:after="0"/>
        <w:ind w:left="0"/>
        <w:jc w:val="both"/>
      </w:pPr>
      <w:r>
        <w:rPr>
          <w:rFonts w:ascii="Times New Roman"/>
          <w:b w:val="false"/>
          <w:i w:val="false"/>
          <w:color w:val="000000"/>
          <w:sz w:val="28"/>
        </w:rPr>
        <w:t>
      V</w:t>
      </w:r>
      <w:r>
        <w:rPr>
          <w:rFonts w:ascii="Times New Roman"/>
          <w:b w:val="false"/>
          <w:i w:val="false"/>
          <w:color w:val="000000"/>
          <w:vertAlign w:val="subscript"/>
        </w:rPr>
        <w:t>iост</w:t>
      </w:r>
      <w:r>
        <w:rPr>
          <w:rFonts w:ascii="Times New Roman"/>
          <w:b w:val="false"/>
          <w:i w:val="false"/>
          <w:color w:val="000000"/>
          <w:sz w:val="28"/>
        </w:rPr>
        <w:t> – часть объема специальной квоты, выделяемая i-му участнику внешнеторговой деятельности;</w:t>
      </w:r>
    </w:p>
    <w:bookmarkEnd w:id="72"/>
    <w:bookmarkStart w:name="z80" w:id="73"/>
    <w:p>
      <w:pPr>
        <w:spacing w:after="0"/>
        <w:ind w:left="0"/>
        <w:jc w:val="both"/>
      </w:pPr>
      <w:r>
        <w:rPr>
          <w:rFonts w:ascii="Times New Roman"/>
          <w:b w:val="false"/>
          <w:i w:val="false"/>
          <w:color w:val="000000"/>
          <w:sz w:val="28"/>
        </w:rPr>
        <w:t>
      V</w:t>
      </w:r>
      <w:r>
        <w:rPr>
          <w:rFonts w:ascii="Times New Roman"/>
          <w:b w:val="false"/>
          <w:i w:val="false"/>
          <w:color w:val="000000"/>
          <w:vertAlign w:val="subscript"/>
        </w:rPr>
        <w:t>iзаяв</w:t>
      </w:r>
      <w:r>
        <w:rPr>
          <w:rFonts w:ascii="Times New Roman"/>
          <w:b w:val="false"/>
          <w:i w:val="false"/>
          <w:color w:val="000000"/>
          <w:vertAlign w:val="subscript"/>
        </w:rPr>
        <w:t> </w:t>
      </w:r>
      <w:r>
        <w:rPr>
          <w:rFonts w:ascii="Times New Roman"/>
          <w:b w:val="false"/>
          <w:i w:val="false"/>
          <w:color w:val="000000"/>
          <w:sz w:val="28"/>
        </w:rPr>
        <w:t>– количество товара (в килограммах), указанное в заявке i-го участника внешнеторговой деятельности;</w:t>
      </w:r>
    </w:p>
    <w:bookmarkEnd w:id="73"/>
    <w:bookmarkStart w:name="z81" w:id="74"/>
    <w:p>
      <w:pPr>
        <w:spacing w:after="0"/>
        <w:ind w:left="0"/>
        <w:jc w:val="both"/>
      </w:pPr>
      <w:r>
        <w:rPr>
          <w:rFonts w:ascii="Times New Roman"/>
          <w:b w:val="false"/>
          <w:i w:val="false"/>
          <w:color w:val="000000"/>
          <w:sz w:val="28"/>
        </w:rPr>
        <w:t>
      D – коэффициент соотношения нераспределенного объема специальной квоты и количества товара (в килограммах), указанного во всех заявках участников внешнеторговой деятельности.</w:t>
      </w:r>
    </w:p>
    <w:bookmarkEnd w:id="74"/>
    <w:bookmarkStart w:name="z82" w:id="75"/>
    <w:p>
      <w:pPr>
        <w:spacing w:after="0"/>
        <w:ind w:left="0"/>
        <w:jc w:val="both"/>
      </w:pPr>
      <w:r>
        <w:rPr>
          <w:rFonts w:ascii="Times New Roman"/>
          <w:b w:val="false"/>
          <w:i w:val="false"/>
          <w:color w:val="000000"/>
          <w:sz w:val="28"/>
        </w:rPr>
        <w:t>
      D рассчитывается по следующей формуле:</w:t>
      </w:r>
    </w:p>
    <w:bookmarkEnd w:id="75"/>
    <w:bookmarkStart w:name="z83" w:id="76"/>
    <w:p>
      <w:pPr>
        <w:spacing w:after="0"/>
        <w:ind w:left="0"/>
        <w:jc w:val="both"/>
      </w:pPr>
      <w:r>
        <w:rPr>
          <w:rFonts w:ascii="Times New Roman"/>
          <w:b w:val="false"/>
          <w:i w:val="false"/>
          <w:color w:val="000000"/>
          <w:sz w:val="28"/>
        </w:rPr>
        <w:t>
      D = V</w:t>
      </w:r>
      <w:r>
        <w:rPr>
          <w:rFonts w:ascii="Times New Roman"/>
          <w:b w:val="false"/>
          <w:i w:val="false"/>
          <w:color w:val="000000"/>
          <w:vertAlign w:val="subscript"/>
        </w:rPr>
        <w:t>ост</w:t>
      </w:r>
      <w:r>
        <w:rPr>
          <w:rFonts w:ascii="Times New Roman"/>
          <w:b w:val="false"/>
          <w:i w:val="false"/>
          <w:color w:val="000000"/>
          <w:sz w:val="28"/>
        </w:rPr>
        <w:t> / V</w:t>
      </w:r>
      <w:r>
        <w:rPr>
          <w:rFonts w:ascii="Times New Roman"/>
          <w:b w:val="false"/>
          <w:i w:val="false"/>
          <w:color w:val="000000"/>
          <w:vertAlign w:val="subscript"/>
        </w:rPr>
        <w:t>заявок</w:t>
      </w:r>
      <w:r>
        <w:rPr>
          <w:rFonts w:ascii="Times New Roman"/>
          <w:b w:val="false"/>
          <w:i w:val="false"/>
          <w:color w:val="000000"/>
          <w:vertAlign w:val="subscript"/>
        </w:rPr>
        <w:t>,</w:t>
      </w:r>
    </w:p>
    <w:bookmarkEnd w:id="76"/>
    <w:bookmarkStart w:name="z84" w:id="77"/>
    <w:p>
      <w:pPr>
        <w:spacing w:after="0"/>
        <w:ind w:left="0"/>
        <w:jc w:val="both"/>
      </w:pPr>
      <w:r>
        <w:rPr>
          <w:rFonts w:ascii="Times New Roman"/>
          <w:b w:val="false"/>
          <w:i w:val="false"/>
          <w:color w:val="000000"/>
          <w:sz w:val="28"/>
        </w:rPr>
        <w:t>
      где:</w:t>
      </w:r>
    </w:p>
    <w:bookmarkEnd w:id="77"/>
    <w:bookmarkStart w:name="z85" w:id="7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ост</w:t>
      </w:r>
      <w:r>
        <w:rPr>
          <w:rFonts w:ascii="Times New Roman"/>
          <w:b w:val="false"/>
          <w:i w:val="false"/>
          <w:color w:val="000000"/>
          <w:sz w:val="28"/>
        </w:rPr>
        <w:t> – нераспределенный объем специальной квоты;</w:t>
      </w:r>
    </w:p>
    <w:bookmarkEnd w:id="78"/>
    <w:bookmarkStart w:name="z86" w:id="7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заявок</w:t>
      </w:r>
      <w:r>
        <w:rPr>
          <w:rFonts w:ascii="Times New Roman"/>
          <w:b w:val="false"/>
          <w:i w:val="false"/>
          <w:color w:val="000000"/>
          <w:sz w:val="28"/>
        </w:rPr>
        <w:t> – общее количество товара (в килограммах), указанное во всех заявках участников внешнеторговой деятельности.</w:t>
      </w:r>
    </w:p>
    <w:bookmarkEnd w:id="79"/>
    <w:bookmarkStart w:name="z87" w:id="80"/>
    <w:p>
      <w:pPr>
        <w:spacing w:after="0"/>
        <w:ind w:left="0"/>
        <w:jc w:val="both"/>
      </w:pPr>
      <w:r>
        <w:rPr>
          <w:rFonts w:ascii="Times New Roman"/>
          <w:b w:val="false"/>
          <w:i w:val="false"/>
          <w:color w:val="000000"/>
          <w:sz w:val="28"/>
        </w:rPr>
        <w:t>
      22. В случае если в заявке, поданной в соответствии с пунктом 17 настоящего Порядка, указано количество товара, превышающее нераспределенный объем специальной квоты, заявленное участником внешнеторговой деятельности количество товара признается равным нераспределенному объему специальной квоты.</w:t>
      </w:r>
    </w:p>
    <w:bookmarkEnd w:id="80"/>
    <w:bookmarkStart w:name="z88" w:id="81"/>
    <w:p>
      <w:pPr>
        <w:spacing w:after="0"/>
        <w:ind w:left="0"/>
        <w:jc w:val="both"/>
      </w:pPr>
      <w:r>
        <w:rPr>
          <w:rFonts w:ascii="Times New Roman"/>
          <w:b w:val="false"/>
          <w:i w:val="false"/>
          <w:color w:val="000000"/>
          <w:sz w:val="28"/>
        </w:rPr>
        <w:t>
      23. В случае если совокупное количество товара (в килограммах), указанное во всех заявках, поданных в соответствии с пунктом 17 настоящего Порядка, не превышает нераспределенный объем специальной квоты, нераспределенный объем специальной квоты распределяется между участниками внешнеторговой деятельности по количеству товара (в килограммах), указанному в заявках.</w:t>
      </w:r>
    </w:p>
    <w:bookmarkEnd w:id="81"/>
    <w:bookmarkStart w:name="z89" w:id="82"/>
    <w:p>
      <w:pPr>
        <w:spacing w:after="0"/>
        <w:ind w:left="0"/>
        <w:jc w:val="both"/>
      </w:pPr>
      <w:r>
        <w:rPr>
          <w:rFonts w:ascii="Times New Roman"/>
          <w:b w:val="false"/>
          <w:i w:val="false"/>
          <w:color w:val="000000"/>
          <w:sz w:val="28"/>
        </w:rPr>
        <w:t>
      24. В случае если по завершении распределения объема специальной квоты в соответствии с пунктом 23 настоящего Порядка остается нераспределенная часть объема специальной квоты, такая часть объема специальной квоты прибавляется к объему специальной квоты, подлежащему распределению на следующий период, предусмотренный пунктом 3 настоящего Порядка.</w:t>
      </w:r>
    </w:p>
    <w:bookmarkEnd w:id="82"/>
    <w:bookmarkStart w:name="z90" w:id="83"/>
    <w:p>
      <w:pPr>
        <w:spacing w:after="0"/>
        <w:ind w:left="0"/>
        <w:jc w:val="both"/>
      </w:pPr>
      <w:r>
        <w:rPr>
          <w:rFonts w:ascii="Times New Roman"/>
          <w:b w:val="false"/>
          <w:i w:val="false"/>
          <w:color w:val="000000"/>
          <w:sz w:val="28"/>
        </w:rPr>
        <w:t>
      25. Уполномоченные органы не позднее 25 календарных дней с даты окончания периодов, указанных в подпунктах "а" и "б" пункта 3 настоящего Порядка, обеспечивают публикацию на своих официальных сайтах в информационно-телекоммуникационной сети "Интернет" информации о наличии невыбранного объема специальной квоты или о том, что объем специальной квоты был выбран полностью.</w:t>
      </w:r>
    </w:p>
    <w:bookmarkEnd w:id="83"/>
    <w:bookmarkStart w:name="z91" w:id="84"/>
    <w:p>
      <w:pPr>
        <w:spacing w:after="0"/>
        <w:ind w:left="0"/>
        <w:jc w:val="both"/>
      </w:pPr>
      <w:r>
        <w:rPr>
          <w:rFonts w:ascii="Times New Roman"/>
          <w:b w:val="false"/>
          <w:i w:val="false"/>
          <w:color w:val="000000"/>
          <w:sz w:val="28"/>
        </w:rPr>
        <w:t>
      26. Для получения невыбранного объема специальной квоты участниками внешнеторговой деятельности, которыми в течение расчетного периода осуществлялся ввоз товара с помещением под таможенные процедуры выпуска для внутреннего потребления или переработки для внутреннего потребления, подаются в уполномоченный орган документы, указанные в пункте 7 настоящего Порядка, в следующие сроки:</w:t>
      </w:r>
    </w:p>
    <w:bookmarkEnd w:id="84"/>
    <w:bookmarkStart w:name="z92" w:id="85"/>
    <w:p>
      <w:pPr>
        <w:spacing w:after="0"/>
        <w:ind w:left="0"/>
        <w:jc w:val="both"/>
      </w:pPr>
      <w:r>
        <w:rPr>
          <w:rFonts w:ascii="Times New Roman"/>
          <w:b w:val="false"/>
          <w:i w:val="false"/>
          <w:color w:val="000000"/>
          <w:sz w:val="28"/>
        </w:rPr>
        <w:t>
      а) по 8 мая 2020 г. включительно – в отношении невыбранного объема специальной квоты за период, указанный в подпункте "а" пункта 3 настоящего Порядка;</w:t>
      </w:r>
    </w:p>
    <w:bookmarkEnd w:id="85"/>
    <w:bookmarkStart w:name="z93" w:id="86"/>
    <w:p>
      <w:pPr>
        <w:spacing w:after="0"/>
        <w:ind w:left="0"/>
        <w:jc w:val="both"/>
      </w:pPr>
      <w:r>
        <w:rPr>
          <w:rFonts w:ascii="Times New Roman"/>
          <w:b w:val="false"/>
          <w:i w:val="false"/>
          <w:color w:val="000000"/>
          <w:sz w:val="28"/>
        </w:rPr>
        <w:t>
      б) по 4 сентября 2020 г. включительно – в отношении невыбранного объема специальной квоты за период, указанный в подпункте "б" пункта 3 настоящего Порядка.</w:t>
      </w:r>
    </w:p>
    <w:bookmarkEnd w:id="86"/>
    <w:bookmarkStart w:name="z94" w:id="87"/>
    <w:p>
      <w:pPr>
        <w:spacing w:after="0"/>
        <w:ind w:left="0"/>
        <w:jc w:val="both"/>
      </w:pPr>
      <w:r>
        <w:rPr>
          <w:rFonts w:ascii="Times New Roman"/>
          <w:b w:val="false"/>
          <w:i w:val="false"/>
          <w:color w:val="000000"/>
          <w:sz w:val="28"/>
        </w:rPr>
        <w:t>
      27. Заявка, отозванная участником внешнеторговой деятельности до истечения срока подачи заявок, предусмотренного пунктом 26 настоящего Порядка, считается неподанной.</w:t>
      </w:r>
    </w:p>
    <w:bookmarkEnd w:id="87"/>
    <w:bookmarkStart w:name="z95" w:id="88"/>
    <w:p>
      <w:pPr>
        <w:spacing w:after="0"/>
        <w:ind w:left="0"/>
        <w:jc w:val="both"/>
      </w:pPr>
      <w:r>
        <w:rPr>
          <w:rFonts w:ascii="Times New Roman"/>
          <w:b w:val="false"/>
          <w:i w:val="false"/>
          <w:color w:val="000000"/>
          <w:sz w:val="28"/>
        </w:rPr>
        <w:t>
      28. Невыбранный объем специальной квоты распределяется уполномоченным органом между участниками внешнеторговой деятельности, подавшими заявки, не позднее 7 рабочих дней с даты окончания срока подачи заявок, предусмотренного пунктом 26 настоящего Порядка, в соответствии с пунктами 29 – 32 настоящего Порядка.</w:t>
      </w:r>
    </w:p>
    <w:bookmarkEnd w:id="88"/>
    <w:bookmarkStart w:name="z96" w:id="89"/>
    <w:p>
      <w:pPr>
        <w:spacing w:after="0"/>
        <w:ind w:left="0"/>
        <w:jc w:val="both"/>
      </w:pPr>
      <w:r>
        <w:rPr>
          <w:rFonts w:ascii="Times New Roman"/>
          <w:b w:val="false"/>
          <w:i w:val="false"/>
          <w:color w:val="000000"/>
          <w:sz w:val="28"/>
        </w:rPr>
        <w:t>
      29. В случае если совокупное количество товара (в килограммах), указанное во всех заявках, поданных в соответствии с пунктом 26 настоящего Порядка, превышает невыбранный объем специальной квоты, невыбранный объем специальный квоты распределяется между участниками внешнеторговой деятельности пропорционально доле количества товара (в килограммах), указанного в заявке участника внешнеторговой деятельности, в общем количестве товара (в килограммах), указанном во всех заявках участников внешнеторговой деятельности.</w:t>
      </w:r>
    </w:p>
    <w:bookmarkEnd w:id="89"/>
    <w:bookmarkStart w:name="z97" w:id="90"/>
    <w:p>
      <w:pPr>
        <w:spacing w:after="0"/>
        <w:ind w:left="0"/>
        <w:jc w:val="both"/>
      </w:pPr>
      <w:r>
        <w:rPr>
          <w:rFonts w:ascii="Times New Roman"/>
          <w:b w:val="false"/>
          <w:i w:val="false"/>
          <w:color w:val="000000"/>
          <w:sz w:val="28"/>
        </w:rPr>
        <w:t>
      30. Для расчета части объема специальной квоты, выделяемой участнику внешнеторговой деятельности, в соответствии с пунктом 29 настоящего Порядка используется следующая формула:</w:t>
      </w:r>
    </w:p>
    <w:bookmarkEnd w:id="90"/>
    <w:bookmarkStart w:name="z98" w:id="91"/>
    <w:p>
      <w:pPr>
        <w:spacing w:after="0"/>
        <w:ind w:left="0"/>
        <w:jc w:val="both"/>
      </w:pPr>
      <w:r>
        <w:rPr>
          <w:rFonts w:ascii="Times New Roman"/>
          <w:b w:val="false"/>
          <w:i w:val="false"/>
          <w:color w:val="000000"/>
          <w:sz w:val="28"/>
        </w:rPr>
        <w:t>
      V</w:t>
      </w:r>
      <w:r>
        <w:rPr>
          <w:rFonts w:ascii="Times New Roman"/>
          <w:b w:val="false"/>
          <w:i w:val="false"/>
          <w:color w:val="000000"/>
          <w:vertAlign w:val="subscript"/>
        </w:rPr>
        <w:t>iневыб</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iзаяв</w:t>
      </w:r>
      <w:r>
        <w:rPr>
          <w:rFonts w:ascii="Times New Roman"/>
          <w:b w:val="false"/>
          <w:i w:val="false"/>
          <w:color w:val="000000"/>
          <w:sz w:val="28"/>
        </w:rPr>
        <w:t xml:space="preserve"> × A,</w:t>
      </w:r>
    </w:p>
    <w:bookmarkEnd w:id="91"/>
    <w:bookmarkStart w:name="z99" w:id="92"/>
    <w:p>
      <w:pPr>
        <w:spacing w:after="0"/>
        <w:ind w:left="0"/>
        <w:jc w:val="both"/>
      </w:pPr>
      <w:r>
        <w:rPr>
          <w:rFonts w:ascii="Times New Roman"/>
          <w:b w:val="false"/>
          <w:i w:val="false"/>
          <w:color w:val="000000"/>
          <w:sz w:val="28"/>
        </w:rPr>
        <w:t>
      где:</w:t>
      </w:r>
    </w:p>
    <w:bookmarkEnd w:id="92"/>
    <w:bookmarkStart w:name="z100" w:id="93"/>
    <w:p>
      <w:pPr>
        <w:spacing w:after="0"/>
        <w:ind w:left="0"/>
        <w:jc w:val="both"/>
      </w:pPr>
      <w:r>
        <w:rPr>
          <w:rFonts w:ascii="Times New Roman"/>
          <w:b w:val="false"/>
          <w:i w:val="false"/>
          <w:color w:val="000000"/>
          <w:sz w:val="28"/>
        </w:rPr>
        <w:t>
      V</w:t>
      </w:r>
      <w:r>
        <w:rPr>
          <w:rFonts w:ascii="Times New Roman"/>
          <w:b w:val="false"/>
          <w:i w:val="false"/>
          <w:color w:val="000000"/>
          <w:vertAlign w:val="subscript"/>
        </w:rPr>
        <w:t>iневыб</w:t>
      </w:r>
      <w:r>
        <w:rPr>
          <w:rFonts w:ascii="Times New Roman"/>
          <w:b w:val="false"/>
          <w:i w:val="false"/>
          <w:color w:val="000000"/>
          <w:sz w:val="28"/>
        </w:rPr>
        <w:t> – часть объема специальной квоты, выделяемая i-му участнику внешнеторговой деятельности;</w:t>
      </w:r>
    </w:p>
    <w:bookmarkEnd w:id="93"/>
    <w:bookmarkStart w:name="z101" w:id="94"/>
    <w:p>
      <w:pPr>
        <w:spacing w:after="0"/>
        <w:ind w:left="0"/>
        <w:jc w:val="both"/>
      </w:pPr>
      <w:r>
        <w:rPr>
          <w:rFonts w:ascii="Times New Roman"/>
          <w:b w:val="false"/>
          <w:i w:val="false"/>
          <w:color w:val="000000"/>
          <w:sz w:val="28"/>
        </w:rPr>
        <w:t>
      V</w:t>
      </w:r>
      <w:r>
        <w:rPr>
          <w:rFonts w:ascii="Times New Roman"/>
          <w:b w:val="false"/>
          <w:i w:val="false"/>
          <w:color w:val="000000"/>
          <w:vertAlign w:val="subscript"/>
        </w:rPr>
        <w:t>iзаяв</w:t>
      </w:r>
      <w:r>
        <w:rPr>
          <w:rFonts w:ascii="Times New Roman"/>
          <w:b w:val="false"/>
          <w:i w:val="false"/>
          <w:color w:val="000000"/>
          <w:vertAlign w:val="subscript"/>
        </w:rPr>
        <w:t> </w:t>
      </w:r>
      <w:r>
        <w:rPr>
          <w:rFonts w:ascii="Times New Roman"/>
          <w:b w:val="false"/>
          <w:i w:val="false"/>
          <w:color w:val="000000"/>
          <w:sz w:val="28"/>
        </w:rPr>
        <w:t>– количество товара (в килограммах), указанное в заявке i-го участника внешнеторговой деятельности;</w:t>
      </w:r>
    </w:p>
    <w:bookmarkEnd w:id="94"/>
    <w:bookmarkStart w:name="z102" w:id="95"/>
    <w:p>
      <w:pPr>
        <w:spacing w:after="0"/>
        <w:ind w:left="0"/>
        <w:jc w:val="both"/>
      </w:pPr>
      <w:r>
        <w:rPr>
          <w:rFonts w:ascii="Times New Roman"/>
          <w:b w:val="false"/>
          <w:i w:val="false"/>
          <w:color w:val="000000"/>
          <w:sz w:val="28"/>
        </w:rPr>
        <w:t>
      A – коэффициент соотношения невыбранного объема специальной квоты и количества товара (в килограммах), указанного во всех заявках участников внешнеторговой деятельности.</w:t>
      </w:r>
    </w:p>
    <w:bookmarkEnd w:id="95"/>
    <w:bookmarkStart w:name="z103" w:id="96"/>
    <w:p>
      <w:pPr>
        <w:spacing w:after="0"/>
        <w:ind w:left="0"/>
        <w:jc w:val="both"/>
      </w:pPr>
      <w:r>
        <w:rPr>
          <w:rFonts w:ascii="Times New Roman"/>
          <w:b w:val="false"/>
          <w:i w:val="false"/>
          <w:color w:val="000000"/>
          <w:sz w:val="28"/>
        </w:rPr>
        <w:t>
      A рассчитывается по следующей формуле:</w:t>
      </w:r>
    </w:p>
    <w:bookmarkEnd w:id="96"/>
    <w:bookmarkStart w:name="z104" w:id="97"/>
    <w:p>
      <w:pPr>
        <w:spacing w:after="0"/>
        <w:ind w:left="0"/>
        <w:jc w:val="both"/>
      </w:pPr>
      <w:r>
        <w:rPr>
          <w:rFonts w:ascii="Times New Roman"/>
          <w:b w:val="false"/>
          <w:i w:val="false"/>
          <w:color w:val="000000"/>
          <w:sz w:val="28"/>
        </w:rPr>
        <w:t>
      A = V</w:t>
      </w:r>
      <w:r>
        <w:rPr>
          <w:rFonts w:ascii="Times New Roman"/>
          <w:b w:val="false"/>
          <w:i w:val="false"/>
          <w:color w:val="000000"/>
          <w:vertAlign w:val="subscript"/>
        </w:rPr>
        <w:t>невыб</w:t>
      </w:r>
      <w:r>
        <w:rPr>
          <w:rFonts w:ascii="Times New Roman"/>
          <w:b w:val="false"/>
          <w:i w:val="false"/>
          <w:color w:val="000000"/>
          <w:sz w:val="28"/>
        </w:rPr>
        <w:t> / V</w:t>
      </w:r>
      <w:r>
        <w:rPr>
          <w:rFonts w:ascii="Times New Roman"/>
          <w:b w:val="false"/>
          <w:i w:val="false"/>
          <w:color w:val="000000"/>
          <w:vertAlign w:val="subscript"/>
        </w:rPr>
        <w:t>заявок</w:t>
      </w:r>
      <w:r>
        <w:rPr>
          <w:rFonts w:ascii="Times New Roman"/>
          <w:b w:val="false"/>
          <w:i w:val="false"/>
          <w:color w:val="000000"/>
          <w:vertAlign w:val="subscript"/>
        </w:rPr>
        <w:t>,</w:t>
      </w:r>
    </w:p>
    <w:bookmarkEnd w:id="97"/>
    <w:bookmarkStart w:name="z105" w:id="98"/>
    <w:p>
      <w:pPr>
        <w:spacing w:after="0"/>
        <w:ind w:left="0"/>
        <w:jc w:val="both"/>
      </w:pPr>
      <w:r>
        <w:rPr>
          <w:rFonts w:ascii="Times New Roman"/>
          <w:b w:val="false"/>
          <w:i w:val="false"/>
          <w:color w:val="000000"/>
          <w:sz w:val="28"/>
        </w:rPr>
        <w:t>
      где:</w:t>
      </w:r>
    </w:p>
    <w:bookmarkEnd w:id="98"/>
    <w:bookmarkStart w:name="z106" w:id="9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невыб</w:t>
      </w:r>
      <w:r>
        <w:rPr>
          <w:rFonts w:ascii="Times New Roman"/>
          <w:b w:val="false"/>
          <w:i w:val="false"/>
          <w:color w:val="000000"/>
          <w:sz w:val="28"/>
        </w:rPr>
        <w:t> – невыбранный объем специальной квоты;</w:t>
      </w:r>
    </w:p>
    <w:bookmarkEnd w:id="99"/>
    <w:bookmarkStart w:name="z107" w:id="10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заявок</w:t>
      </w:r>
      <w:r>
        <w:rPr>
          <w:rFonts w:ascii="Times New Roman"/>
          <w:b w:val="false"/>
          <w:i w:val="false"/>
          <w:color w:val="000000"/>
          <w:sz w:val="28"/>
        </w:rPr>
        <w:t> – общее количество товара (в килограммах), указанное во всех заявках участников внешнеторговой деятельности.</w:t>
      </w:r>
    </w:p>
    <w:bookmarkEnd w:id="100"/>
    <w:bookmarkStart w:name="z108" w:id="101"/>
    <w:p>
      <w:pPr>
        <w:spacing w:after="0"/>
        <w:ind w:left="0"/>
        <w:jc w:val="both"/>
      </w:pPr>
      <w:r>
        <w:rPr>
          <w:rFonts w:ascii="Times New Roman"/>
          <w:b w:val="false"/>
          <w:i w:val="false"/>
          <w:color w:val="000000"/>
          <w:sz w:val="28"/>
        </w:rPr>
        <w:t>
      31. В случае если в заявке, поданной в соответствии с пунктом 26 настоящего Порядка, указано количество товара, превышающее невыбранный объем специальной квоты, заявленное таким участником внешнеторговой деятельности количество товара признается равным невыбранному объему специальной квоты.</w:t>
      </w:r>
    </w:p>
    <w:bookmarkEnd w:id="101"/>
    <w:bookmarkStart w:name="z109" w:id="102"/>
    <w:p>
      <w:pPr>
        <w:spacing w:after="0"/>
        <w:ind w:left="0"/>
        <w:jc w:val="both"/>
      </w:pPr>
      <w:r>
        <w:rPr>
          <w:rFonts w:ascii="Times New Roman"/>
          <w:b w:val="false"/>
          <w:i w:val="false"/>
          <w:color w:val="000000"/>
          <w:sz w:val="28"/>
        </w:rPr>
        <w:t>
      32. В случае если совокупное количество товара (в килограммах), указанное во всех заявках, поданных в соответствии с пунктом 26 настоящего Порядка, не превышает невыбранный объем специальной квоты, невыбранный объем специальной квоты распределяется между участниками внешнеторговой деятельности по количеству товара (в килограммах), указанному в заявках.</w:t>
      </w:r>
    </w:p>
    <w:bookmarkEnd w:id="102"/>
    <w:bookmarkStart w:name="z110" w:id="103"/>
    <w:p>
      <w:pPr>
        <w:spacing w:after="0"/>
        <w:ind w:left="0"/>
        <w:jc w:val="both"/>
      </w:pPr>
      <w:r>
        <w:rPr>
          <w:rFonts w:ascii="Times New Roman"/>
          <w:b w:val="false"/>
          <w:i w:val="false"/>
          <w:color w:val="000000"/>
          <w:sz w:val="28"/>
        </w:rPr>
        <w:t>
      33. Срок действия разовой лицензии в отношении невыбранного объема специальной квоты составляет:</w:t>
      </w:r>
    </w:p>
    <w:bookmarkEnd w:id="103"/>
    <w:bookmarkStart w:name="z111" w:id="104"/>
    <w:p>
      <w:pPr>
        <w:spacing w:after="0"/>
        <w:ind w:left="0"/>
        <w:jc w:val="both"/>
      </w:pPr>
      <w:r>
        <w:rPr>
          <w:rFonts w:ascii="Times New Roman"/>
          <w:b w:val="false"/>
          <w:i w:val="false"/>
          <w:color w:val="000000"/>
          <w:sz w:val="28"/>
        </w:rPr>
        <w:t>
      а) при подаче участниками внешнеторговой деятельности в уполномоченный орган документов, указанных в пункте 7 настоящего Порядка, в сроки, указанные в подпункте "а" пункта 26 настоящего Порядка, – по 31 июля 2020 г. включительно;</w:t>
      </w:r>
    </w:p>
    <w:bookmarkEnd w:id="104"/>
    <w:bookmarkStart w:name="z112" w:id="105"/>
    <w:p>
      <w:pPr>
        <w:spacing w:after="0"/>
        <w:ind w:left="0"/>
        <w:jc w:val="both"/>
      </w:pPr>
      <w:r>
        <w:rPr>
          <w:rFonts w:ascii="Times New Roman"/>
          <w:b w:val="false"/>
          <w:i w:val="false"/>
          <w:color w:val="000000"/>
          <w:sz w:val="28"/>
        </w:rPr>
        <w:t>
      б) при подаче участниками внешнеторговой деятельности в уполномоченный орган документов, указанных в пункте 7 настоящего Порядка, в сроки, указанные в подпункте "б" пункта 26 настоящего Порядка, – по 30 ноября 2020 г. включительно.</w:t>
      </w:r>
    </w:p>
    <w:bookmarkEnd w:id="105"/>
    <w:bookmarkStart w:name="z113" w:id="106"/>
    <w:p>
      <w:pPr>
        <w:spacing w:after="0"/>
        <w:ind w:left="0"/>
        <w:jc w:val="both"/>
      </w:pPr>
      <w:r>
        <w:rPr>
          <w:rFonts w:ascii="Times New Roman"/>
          <w:b w:val="false"/>
          <w:i w:val="false"/>
          <w:color w:val="000000"/>
          <w:sz w:val="28"/>
        </w:rPr>
        <w:t xml:space="preserve">
      </w:t>
      </w:r>
      <w:r>
        <w:rPr>
          <w:rFonts w:ascii="Times New Roman"/>
          <w:b/>
          <w:i w:val="false"/>
          <w:color w:val="000000"/>
          <w:sz w:val="28"/>
        </w:rPr>
        <w:t>III. Заявительный принцип распределения</w:t>
      </w:r>
    </w:p>
    <w:bookmarkEnd w:id="106"/>
    <w:bookmarkStart w:name="z114" w:id="107"/>
    <w:p>
      <w:pPr>
        <w:spacing w:after="0"/>
        <w:ind w:left="0"/>
        <w:jc w:val="both"/>
      </w:pPr>
      <w:r>
        <w:rPr>
          <w:rFonts w:ascii="Times New Roman"/>
          <w:b w:val="false"/>
          <w:i w:val="false"/>
          <w:color w:val="000000"/>
          <w:sz w:val="28"/>
        </w:rPr>
        <w:t>
      34. Для получения части объема специальной квоты, предусмотренного пунктом 6 настоящего Порядка, участниками внешнеторговой деятельности подаются в уполномоченный орган документы, указанные в пункте 7 настоящего Порядка, в следующие сроки:</w:t>
      </w:r>
    </w:p>
    <w:bookmarkEnd w:id="107"/>
    <w:bookmarkStart w:name="z115" w:id="108"/>
    <w:p>
      <w:pPr>
        <w:spacing w:after="0"/>
        <w:ind w:left="0"/>
        <w:jc w:val="both"/>
      </w:pPr>
      <w:r>
        <w:rPr>
          <w:rFonts w:ascii="Times New Roman"/>
          <w:b w:val="false"/>
          <w:i w:val="false"/>
          <w:color w:val="000000"/>
          <w:sz w:val="28"/>
        </w:rPr>
        <w:t>
      а) по 18 ноября 2019 г. включительно – в отношении объема специальной квоты на период, указанный в подпункте "а" пункта 3 настоящего Порядка;</w:t>
      </w:r>
    </w:p>
    <w:bookmarkEnd w:id="108"/>
    <w:bookmarkStart w:name="z116" w:id="109"/>
    <w:p>
      <w:pPr>
        <w:spacing w:after="0"/>
        <w:ind w:left="0"/>
        <w:jc w:val="both"/>
      </w:pPr>
      <w:r>
        <w:rPr>
          <w:rFonts w:ascii="Times New Roman"/>
          <w:b w:val="false"/>
          <w:i w:val="false"/>
          <w:color w:val="000000"/>
          <w:sz w:val="28"/>
        </w:rPr>
        <w:t>
      б) по 28 февраля 2020 г. включительно – в отношении объема специальной квоты на период, указанный в подпункте "б" пункта 3 настоящего Порядка;</w:t>
      </w:r>
    </w:p>
    <w:bookmarkEnd w:id="109"/>
    <w:bookmarkStart w:name="z117" w:id="110"/>
    <w:p>
      <w:pPr>
        <w:spacing w:after="0"/>
        <w:ind w:left="0"/>
        <w:jc w:val="both"/>
      </w:pPr>
      <w:r>
        <w:rPr>
          <w:rFonts w:ascii="Times New Roman"/>
          <w:b w:val="false"/>
          <w:i w:val="false"/>
          <w:color w:val="000000"/>
          <w:sz w:val="28"/>
        </w:rPr>
        <w:t>
      в) по 30 июня 2020 г. включительно – в отношении объема специальной квоты на период, указанный в подпункте "в" пункта 3 настоящего Порядка.</w:t>
      </w:r>
    </w:p>
    <w:bookmarkEnd w:id="110"/>
    <w:bookmarkStart w:name="z118" w:id="111"/>
    <w:p>
      <w:pPr>
        <w:spacing w:after="0"/>
        <w:ind w:left="0"/>
        <w:jc w:val="both"/>
      </w:pPr>
      <w:r>
        <w:rPr>
          <w:rFonts w:ascii="Times New Roman"/>
          <w:b w:val="false"/>
          <w:i w:val="false"/>
          <w:color w:val="000000"/>
          <w:sz w:val="28"/>
        </w:rPr>
        <w:t>
      35. Заявка, отозванная участником внешнеторговой деятельности до истечения срока подачи заявок, предусмотренного пунктом 34 настоящего Порядка, считается неподанной.</w:t>
      </w:r>
    </w:p>
    <w:bookmarkEnd w:id="111"/>
    <w:bookmarkStart w:name="z119" w:id="112"/>
    <w:p>
      <w:pPr>
        <w:spacing w:after="0"/>
        <w:ind w:left="0"/>
        <w:jc w:val="both"/>
      </w:pPr>
      <w:r>
        <w:rPr>
          <w:rFonts w:ascii="Times New Roman"/>
          <w:b w:val="false"/>
          <w:i w:val="false"/>
          <w:color w:val="000000"/>
          <w:sz w:val="28"/>
        </w:rPr>
        <w:t>
      36. Объем специальной квоты распределяется уполномоченным органом между участниками внешнеторговой деятельности, подавшими заявки, не позднее 7 рабочих дней с даты окончания срока подачи заявок, предусмотренного пунктом 34 настоящего Порядка, в соответствии с пунктами 37 – 40 настоящего Порядка.</w:t>
      </w:r>
    </w:p>
    <w:bookmarkEnd w:id="112"/>
    <w:bookmarkStart w:name="z120" w:id="113"/>
    <w:p>
      <w:pPr>
        <w:spacing w:after="0"/>
        <w:ind w:left="0"/>
        <w:jc w:val="both"/>
      </w:pPr>
      <w:r>
        <w:rPr>
          <w:rFonts w:ascii="Times New Roman"/>
          <w:b w:val="false"/>
          <w:i w:val="false"/>
          <w:color w:val="000000"/>
          <w:sz w:val="28"/>
        </w:rPr>
        <w:t>
      37. В случае если совокупное количество товара (в килограммах), указанное во всех заявках, поданных в соответствии с пунктом 34 настоящего Порядка, превышает объем специальной квоты, подлежащий распределению на соответствующий период, предусмотренный пунктом 3 настоящего Порядка, объем специальной квоты распределяется между участниками внешнеторговой деятельности пропорционально доле количества товара (в килограммах), указанного в заявке участника внешнеторговой деятельности, в общем количестве товара (в килограммах), указанном во всех заявках участников внешнеторговой деятельности.</w:t>
      </w:r>
    </w:p>
    <w:bookmarkEnd w:id="113"/>
    <w:bookmarkStart w:name="z121" w:id="114"/>
    <w:p>
      <w:pPr>
        <w:spacing w:after="0"/>
        <w:ind w:left="0"/>
        <w:jc w:val="both"/>
      </w:pPr>
      <w:r>
        <w:rPr>
          <w:rFonts w:ascii="Times New Roman"/>
          <w:b w:val="false"/>
          <w:i w:val="false"/>
          <w:color w:val="000000"/>
          <w:sz w:val="28"/>
        </w:rPr>
        <w:t>
      38. Для расчета части объема специальной квоты, выделяемой участнику внешнеторговой деятельности, в соответствии с пунктом 37 настоящего Порядка используется следующая формула:</w:t>
      </w:r>
    </w:p>
    <w:bookmarkEnd w:id="114"/>
    <w:bookmarkStart w:name="z122" w:id="115"/>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iзаяв</w:t>
      </w:r>
      <w:r>
        <w:rPr>
          <w:rFonts w:ascii="Times New Roman"/>
          <w:b w:val="false"/>
          <w:i w:val="false"/>
          <w:color w:val="000000"/>
          <w:sz w:val="28"/>
        </w:rPr>
        <w:t xml:space="preserve"> × С,</w:t>
      </w:r>
    </w:p>
    <w:bookmarkEnd w:id="115"/>
    <w:bookmarkStart w:name="z123" w:id="116"/>
    <w:p>
      <w:pPr>
        <w:spacing w:after="0"/>
        <w:ind w:left="0"/>
        <w:jc w:val="both"/>
      </w:pPr>
      <w:r>
        <w:rPr>
          <w:rFonts w:ascii="Times New Roman"/>
          <w:b w:val="false"/>
          <w:i w:val="false"/>
          <w:color w:val="000000"/>
          <w:sz w:val="28"/>
        </w:rPr>
        <w:t>
      где:</w:t>
      </w:r>
    </w:p>
    <w:bookmarkEnd w:id="116"/>
    <w:bookmarkStart w:name="z124" w:id="117"/>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 часть объема специальной квоты, выделяемая i-му участнику внешнеторговой деятельности;</w:t>
      </w:r>
    </w:p>
    <w:bookmarkEnd w:id="117"/>
    <w:bookmarkStart w:name="z125" w:id="118"/>
    <w:p>
      <w:pPr>
        <w:spacing w:after="0"/>
        <w:ind w:left="0"/>
        <w:jc w:val="both"/>
      </w:pPr>
      <w:r>
        <w:rPr>
          <w:rFonts w:ascii="Times New Roman"/>
          <w:b w:val="false"/>
          <w:i w:val="false"/>
          <w:color w:val="000000"/>
          <w:sz w:val="28"/>
        </w:rPr>
        <w:t>
      V</w:t>
      </w:r>
      <w:r>
        <w:rPr>
          <w:rFonts w:ascii="Times New Roman"/>
          <w:b w:val="false"/>
          <w:i w:val="false"/>
          <w:color w:val="000000"/>
          <w:vertAlign w:val="subscript"/>
        </w:rPr>
        <w:t>iзаяв</w:t>
      </w:r>
      <w:r>
        <w:rPr>
          <w:rFonts w:ascii="Times New Roman"/>
          <w:b w:val="false"/>
          <w:i w:val="false"/>
          <w:color w:val="000000"/>
          <w:vertAlign w:val="subscript"/>
        </w:rPr>
        <w:t> </w:t>
      </w:r>
      <w:r>
        <w:rPr>
          <w:rFonts w:ascii="Times New Roman"/>
          <w:b w:val="false"/>
          <w:i w:val="false"/>
          <w:color w:val="000000"/>
          <w:sz w:val="28"/>
        </w:rPr>
        <w:t>– количество товара (в килограммах), указанное в заявке i-го участника внешнеторговой деятельности;</w:t>
      </w:r>
    </w:p>
    <w:bookmarkEnd w:id="118"/>
    <w:bookmarkStart w:name="z126" w:id="119"/>
    <w:p>
      <w:pPr>
        <w:spacing w:after="0"/>
        <w:ind w:left="0"/>
        <w:jc w:val="both"/>
      </w:pPr>
      <w:r>
        <w:rPr>
          <w:rFonts w:ascii="Times New Roman"/>
          <w:b w:val="false"/>
          <w:i w:val="false"/>
          <w:color w:val="000000"/>
          <w:sz w:val="28"/>
        </w:rPr>
        <w:t>
      С – коэффициент соотношения объема специальной квоты, подлежащего распределению на соответствующий период, предусмотренный пунктом 3 настоящего Порядка, и количества товара (в килограммах), указанного во всех заявках участников внешнеторговой деятельности.</w:t>
      </w:r>
    </w:p>
    <w:bookmarkEnd w:id="119"/>
    <w:bookmarkStart w:name="z127" w:id="120"/>
    <w:p>
      <w:pPr>
        <w:spacing w:after="0"/>
        <w:ind w:left="0"/>
        <w:jc w:val="both"/>
      </w:pPr>
      <w:r>
        <w:rPr>
          <w:rFonts w:ascii="Times New Roman"/>
          <w:b w:val="false"/>
          <w:i w:val="false"/>
          <w:color w:val="000000"/>
          <w:sz w:val="28"/>
        </w:rPr>
        <w:t>
      С рассчитывается по следующей формуле:</w:t>
      </w:r>
    </w:p>
    <w:bookmarkEnd w:id="120"/>
    <w:bookmarkStart w:name="z128" w:id="121"/>
    <w:p>
      <w:pPr>
        <w:spacing w:after="0"/>
        <w:ind w:left="0"/>
        <w:jc w:val="both"/>
      </w:pPr>
      <w:r>
        <w:rPr>
          <w:rFonts w:ascii="Times New Roman"/>
          <w:b w:val="false"/>
          <w:i w:val="false"/>
          <w:color w:val="000000"/>
          <w:sz w:val="28"/>
        </w:rPr>
        <w:t>
      С = V</w:t>
      </w:r>
      <w:r>
        <w:rPr>
          <w:rFonts w:ascii="Times New Roman"/>
          <w:b w:val="false"/>
          <w:i w:val="false"/>
          <w:color w:val="000000"/>
          <w:vertAlign w:val="subscript"/>
        </w:rPr>
        <w:t>кв</w:t>
      </w:r>
      <w:r>
        <w:rPr>
          <w:rFonts w:ascii="Times New Roman"/>
          <w:b w:val="false"/>
          <w:i w:val="false"/>
          <w:color w:val="000000"/>
          <w:sz w:val="28"/>
        </w:rPr>
        <w:t> / V</w:t>
      </w:r>
      <w:r>
        <w:rPr>
          <w:rFonts w:ascii="Times New Roman"/>
          <w:b w:val="false"/>
          <w:i w:val="false"/>
          <w:color w:val="000000"/>
          <w:vertAlign w:val="subscript"/>
        </w:rPr>
        <w:t>заявок</w:t>
      </w:r>
      <w:r>
        <w:rPr>
          <w:rFonts w:ascii="Times New Roman"/>
          <w:b w:val="false"/>
          <w:i w:val="false"/>
          <w:color w:val="000000"/>
          <w:vertAlign w:val="subscript"/>
        </w:rPr>
        <w:t>,</w:t>
      </w:r>
    </w:p>
    <w:bookmarkEnd w:id="121"/>
    <w:bookmarkStart w:name="z129" w:id="122"/>
    <w:p>
      <w:pPr>
        <w:spacing w:after="0"/>
        <w:ind w:left="0"/>
        <w:jc w:val="both"/>
      </w:pPr>
      <w:r>
        <w:rPr>
          <w:rFonts w:ascii="Times New Roman"/>
          <w:b w:val="false"/>
          <w:i w:val="false"/>
          <w:color w:val="000000"/>
          <w:sz w:val="28"/>
        </w:rPr>
        <w:t>
      где:</w:t>
      </w:r>
    </w:p>
    <w:bookmarkEnd w:id="122"/>
    <w:bookmarkStart w:name="z130" w:id="12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кв</w:t>
      </w:r>
      <w:r>
        <w:rPr>
          <w:rFonts w:ascii="Times New Roman"/>
          <w:b w:val="false"/>
          <w:i w:val="false"/>
          <w:color w:val="000000"/>
          <w:sz w:val="28"/>
        </w:rPr>
        <w:t> – объем специальной квоты, подлежащий распределению на соответствующий период, предусмотренный пунктом 3 настоящего Порядка;</w:t>
      </w:r>
    </w:p>
    <w:bookmarkEnd w:id="123"/>
    <w:bookmarkStart w:name="z131" w:id="12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заявок</w:t>
      </w:r>
      <w:r>
        <w:rPr>
          <w:rFonts w:ascii="Times New Roman"/>
          <w:b w:val="false"/>
          <w:i w:val="false"/>
          <w:color w:val="000000"/>
          <w:sz w:val="28"/>
        </w:rPr>
        <w:t> – общее количество товара (в килограммах), указанное во всех заявках участников внешнеторговой деятельности.</w:t>
      </w:r>
    </w:p>
    <w:bookmarkEnd w:id="124"/>
    <w:bookmarkStart w:name="z132" w:id="125"/>
    <w:p>
      <w:pPr>
        <w:spacing w:after="0"/>
        <w:ind w:left="0"/>
        <w:jc w:val="both"/>
      </w:pPr>
      <w:r>
        <w:rPr>
          <w:rFonts w:ascii="Times New Roman"/>
          <w:b w:val="false"/>
          <w:i w:val="false"/>
          <w:color w:val="000000"/>
          <w:sz w:val="28"/>
        </w:rPr>
        <w:t>
      39. В случае если в заявке, поданной в соответствии с пунктом 34 настоящего Порядка, указано количество товара, превышающее объем специальной квоты, подлежащий распределению на соответствующий период, предусмотренный пунктом 3 настоящего Порядка, заявленное участником внешнеторговой деятельности количество товара признается равным объему специальной квоты, подлежащему распределению на соответствующий период.</w:t>
      </w:r>
    </w:p>
    <w:bookmarkEnd w:id="125"/>
    <w:bookmarkStart w:name="z133" w:id="126"/>
    <w:p>
      <w:pPr>
        <w:spacing w:after="0"/>
        <w:ind w:left="0"/>
        <w:jc w:val="both"/>
      </w:pPr>
      <w:r>
        <w:rPr>
          <w:rFonts w:ascii="Times New Roman"/>
          <w:b w:val="false"/>
          <w:i w:val="false"/>
          <w:color w:val="000000"/>
          <w:sz w:val="28"/>
        </w:rPr>
        <w:t>
      40. В случае если совокупное количество товара (в килограммах), указанное во всех заявках, поданных в соответствии с пунктом 34 настоящего Порядка, не превышает объем специальной квоты, подлежащий распределению на соответствующий период, предусмотренный пунктом 3 настоящего Порядка, объем специальной квоты распределяется между участниками внешнеторговой деятельности по количеству товара (в килограммах), указанному в заявках.</w:t>
      </w:r>
    </w:p>
    <w:bookmarkEnd w:id="126"/>
    <w:bookmarkStart w:name="z134" w:id="127"/>
    <w:p>
      <w:pPr>
        <w:spacing w:after="0"/>
        <w:ind w:left="0"/>
        <w:jc w:val="both"/>
      </w:pPr>
      <w:r>
        <w:rPr>
          <w:rFonts w:ascii="Times New Roman"/>
          <w:b w:val="false"/>
          <w:i w:val="false"/>
          <w:color w:val="000000"/>
          <w:sz w:val="28"/>
        </w:rPr>
        <w:t>
      41. Уполномоченные органы не позднее 7 рабочих дней с даты окончания срока подачи заявок, установленного пунктом 34 настоящего Порядка, обеспечивают публикацию на своих официальных сайтах в информационно-телекоммуникационной сети "Интернет" информации о наличии нераспределенного объема специальной квоты или о том, что объем специальной квоты был распределен полностью.</w:t>
      </w:r>
    </w:p>
    <w:bookmarkEnd w:id="127"/>
    <w:bookmarkStart w:name="z135" w:id="128"/>
    <w:p>
      <w:pPr>
        <w:spacing w:after="0"/>
        <w:ind w:left="0"/>
        <w:jc w:val="both"/>
      </w:pPr>
      <w:r>
        <w:rPr>
          <w:rFonts w:ascii="Times New Roman"/>
          <w:b w:val="false"/>
          <w:i w:val="false"/>
          <w:color w:val="000000"/>
          <w:sz w:val="28"/>
        </w:rPr>
        <w:t>
      42. В случае если по завершении распределения объема специальной квоты в соответствии с пунктом 40 настоящего Порядка остается нераспределенная часть объема специальной квоты, такая часть объема специальной квоты прибавляется к объему специальной квоты, подлежащему распределению на следующий период, предусмотренный пунктом 3 настоящего Порядка.</w:t>
      </w:r>
    </w:p>
    <w:bookmarkEnd w:id="128"/>
    <w:bookmarkStart w:name="z136" w:id="129"/>
    <w:p>
      <w:pPr>
        <w:spacing w:after="0"/>
        <w:ind w:left="0"/>
        <w:jc w:val="both"/>
      </w:pPr>
      <w:r>
        <w:rPr>
          <w:rFonts w:ascii="Times New Roman"/>
          <w:b w:val="false"/>
          <w:i w:val="false"/>
          <w:color w:val="000000"/>
          <w:sz w:val="28"/>
        </w:rPr>
        <w:t>
      43. Уполномоченные органы не позднее 25 календарных дней с даты окончания периодов, указанных в подпунктах "а" и "б" пункта 3 настоящего Порядка, обеспечивают публикацию на своих официальных сайтах в информационно-телекоммуникационной сети "Интернет" информации о наличии невыбранного объема специальной квоты или о том, что объем специальной квоты был выбран полностью.</w:t>
      </w:r>
    </w:p>
    <w:bookmarkEnd w:id="129"/>
    <w:bookmarkStart w:name="z137" w:id="130"/>
    <w:p>
      <w:pPr>
        <w:spacing w:after="0"/>
        <w:ind w:left="0"/>
        <w:jc w:val="both"/>
      </w:pPr>
      <w:r>
        <w:rPr>
          <w:rFonts w:ascii="Times New Roman"/>
          <w:b w:val="false"/>
          <w:i w:val="false"/>
          <w:color w:val="000000"/>
          <w:sz w:val="28"/>
        </w:rPr>
        <w:t>
      44. Для получения невыбранного объема специальной квоты участниками внешнеторговой деятельности подаются в уполномоченный орган документы, указанные в пункте 7 настоящего Порядка, в следующие сроки:</w:t>
      </w:r>
    </w:p>
    <w:bookmarkEnd w:id="130"/>
    <w:bookmarkStart w:name="z138" w:id="131"/>
    <w:p>
      <w:pPr>
        <w:spacing w:after="0"/>
        <w:ind w:left="0"/>
        <w:jc w:val="both"/>
      </w:pPr>
      <w:r>
        <w:rPr>
          <w:rFonts w:ascii="Times New Roman"/>
          <w:b w:val="false"/>
          <w:i w:val="false"/>
          <w:color w:val="000000"/>
          <w:sz w:val="28"/>
        </w:rPr>
        <w:t>
      а) по 15 мая 2020 г. включительно – в отношении невыбранного объема специальной квоты за период, указанный в подпункте "а" пункта 3 настоящего Порядка;</w:t>
      </w:r>
    </w:p>
    <w:bookmarkEnd w:id="131"/>
    <w:bookmarkStart w:name="z139" w:id="132"/>
    <w:p>
      <w:pPr>
        <w:spacing w:after="0"/>
        <w:ind w:left="0"/>
        <w:jc w:val="both"/>
      </w:pPr>
      <w:r>
        <w:rPr>
          <w:rFonts w:ascii="Times New Roman"/>
          <w:b w:val="false"/>
          <w:i w:val="false"/>
          <w:color w:val="000000"/>
          <w:sz w:val="28"/>
        </w:rPr>
        <w:t>
      б) по 15 сентября 2020 г. включительно – в отношении невыбранного объема специальной квоты за период, указанный в подпункте "б" пункта 3 настоящего Порядка.</w:t>
      </w:r>
    </w:p>
    <w:bookmarkEnd w:id="132"/>
    <w:bookmarkStart w:name="z140" w:id="133"/>
    <w:p>
      <w:pPr>
        <w:spacing w:after="0"/>
        <w:ind w:left="0"/>
        <w:jc w:val="both"/>
      </w:pPr>
      <w:r>
        <w:rPr>
          <w:rFonts w:ascii="Times New Roman"/>
          <w:b w:val="false"/>
          <w:i w:val="false"/>
          <w:color w:val="000000"/>
          <w:sz w:val="28"/>
        </w:rPr>
        <w:t>
      45. Заявка, отозванная участником внешнеторговой деятельности до истечения срока подачи заявок, предусмотренного пунктом 44 настоящего Порядка, считается неподанной.</w:t>
      </w:r>
    </w:p>
    <w:bookmarkEnd w:id="133"/>
    <w:bookmarkStart w:name="z141" w:id="134"/>
    <w:p>
      <w:pPr>
        <w:spacing w:after="0"/>
        <w:ind w:left="0"/>
        <w:jc w:val="both"/>
      </w:pPr>
      <w:r>
        <w:rPr>
          <w:rFonts w:ascii="Times New Roman"/>
          <w:b w:val="false"/>
          <w:i w:val="false"/>
          <w:color w:val="000000"/>
          <w:sz w:val="28"/>
        </w:rPr>
        <w:t>
      46. Невыбранный объем специальной квоты распределяется уполномоченным органом между участниками внешнеторговой деятельности, подавшими заявки, не позднее 7 рабочих дней с даты окончания срока подачи заявок, предусмотренного пунктом 44 настоящего Порядка, в соответствии с пунктами 47 – 50 настоящего Порядка.</w:t>
      </w:r>
    </w:p>
    <w:bookmarkEnd w:id="134"/>
    <w:bookmarkStart w:name="z142" w:id="135"/>
    <w:p>
      <w:pPr>
        <w:spacing w:after="0"/>
        <w:ind w:left="0"/>
        <w:jc w:val="both"/>
      </w:pPr>
      <w:r>
        <w:rPr>
          <w:rFonts w:ascii="Times New Roman"/>
          <w:b w:val="false"/>
          <w:i w:val="false"/>
          <w:color w:val="000000"/>
          <w:sz w:val="28"/>
        </w:rPr>
        <w:t>
      47. В случае если совокупное количество товара (в килограммах), указанное во всех заявках, поданных в соответствии с пунктом 44 настоящего Порядка, превышает невыбранный объем специальной квоты, невыбранный объем специальный квоты распределяется между участниками внешнеторговой деятельности пропорционально доле количества товара (в килограммах), указанного в заявке участника внешнеторговой деятельности, в общем количестве товара (в килограммах), указанном во всех заявках участников внешнеторговой деятельности.</w:t>
      </w:r>
    </w:p>
    <w:bookmarkEnd w:id="135"/>
    <w:bookmarkStart w:name="z143" w:id="136"/>
    <w:p>
      <w:pPr>
        <w:spacing w:after="0"/>
        <w:ind w:left="0"/>
        <w:jc w:val="both"/>
      </w:pPr>
      <w:r>
        <w:rPr>
          <w:rFonts w:ascii="Times New Roman"/>
          <w:b w:val="false"/>
          <w:i w:val="false"/>
          <w:color w:val="000000"/>
          <w:sz w:val="28"/>
        </w:rPr>
        <w:t>
      48. Для расчета части объема специальной квоты, выделяемой участнику внешнеторговой деятельности, в соответствии с пунктом 47 настоящего Порядка используется следующая формула:</w:t>
      </w:r>
    </w:p>
    <w:bookmarkEnd w:id="136"/>
    <w:bookmarkStart w:name="z144" w:id="137"/>
    <w:p>
      <w:pPr>
        <w:spacing w:after="0"/>
        <w:ind w:left="0"/>
        <w:jc w:val="both"/>
      </w:pPr>
      <w:r>
        <w:rPr>
          <w:rFonts w:ascii="Times New Roman"/>
          <w:b w:val="false"/>
          <w:i w:val="false"/>
          <w:color w:val="000000"/>
          <w:sz w:val="28"/>
        </w:rPr>
        <w:t>
      V</w:t>
      </w:r>
      <w:r>
        <w:rPr>
          <w:rFonts w:ascii="Times New Roman"/>
          <w:b w:val="false"/>
          <w:i w:val="false"/>
          <w:color w:val="000000"/>
          <w:vertAlign w:val="subscript"/>
        </w:rPr>
        <w:t>iневыб</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iзаяв</w:t>
      </w:r>
      <w:r>
        <w:rPr>
          <w:rFonts w:ascii="Times New Roman"/>
          <w:b w:val="false"/>
          <w:i w:val="false"/>
          <w:color w:val="000000"/>
          <w:sz w:val="28"/>
        </w:rPr>
        <w:t xml:space="preserve"> × B, </w:t>
      </w:r>
    </w:p>
    <w:bookmarkEnd w:id="137"/>
    <w:bookmarkStart w:name="z145" w:id="138"/>
    <w:p>
      <w:pPr>
        <w:spacing w:after="0"/>
        <w:ind w:left="0"/>
        <w:jc w:val="both"/>
      </w:pPr>
      <w:r>
        <w:rPr>
          <w:rFonts w:ascii="Times New Roman"/>
          <w:b w:val="false"/>
          <w:i w:val="false"/>
          <w:color w:val="000000"/>
          <w:sz w:val="28"/>
        </w:rPr>
        <w:t>
      где:</w:t>
      </w:r>
    </w:p>
    <w:bookmarkEnd w:id="138"/>
    <w:bookmarkStart w:name="z146" w:id="139"/>
    <w:p>
      <w:pPr>
        <w:spacing w:after="0"/>
        <w:ind w:left="0"/>
        <w:jc w:val="both"/>
      </w:pPr>
      <w:r>
        <w:rPr>
          <w:rFonts w:ascii="Times New Roman"/>
          <w:b w:val="false"/>
          <w:i w:val="false"/>
          <w:color w:val="000000"/>
          <w:sz w:val="28"/>
        </w:rPr>
        <w:t>
      V</w:t>
      </w:r>
      <w:r>
        <w:rPr>
          <w:rFonts w:ascii="Times New Roman"/>
          <w:b w:val="false"/>
          <w:i w:val="false"/>
          <w:color w:val="000000"/>
          <w:vertAlign w:val="subscript"/>
        </w:rPr>
        <w:t>iневыб</w:t>
      </w:r>
      <w:r>
        <w:rPr>
          <w:rFonts w:ascii="Times New Roman"/>
          <w:b w:val="false"/>
          <w:i w:val="false"/>
          <w:color w:val="000000"/>
          <w:sz w:val="28"/>
        </w:rPr>
        <w:t> – часть объема специальной квоты, выделяемая i-му участнику внешнеторговой деятельности;</w:t>
      </w:r>
    </w:p>
    <w:bookmarkEnd w:id="139"/>
    <w:bookmarkStart w:name="z147" w:id="140"/>
    <w:p>
      <w:pPr>
        <w:spacing w:after="0"/>
        <w:ind w:left="0"/>
        <w:jc w:val="both"/>
      </w:pPr>
      <w:r>
        <w:rPr>
          <w:rFonts w:ascii="Times New Roman"/>
          <w:b w:val="false"/>
          <w:i w:val="false"/>
          <w:color w:val="000000"/>
          <w:sz w:val="28"/>
        </w:rPr>
        <w:t>
      V</w:t>
      </w:r>
      <w:r>
        <w:rPr>
          <w:rFonts w:ascii="Times New Roman"/>
          <w:b w:val="false"/>
          <w:i w:val="false"/>
          <w:color w:val="000000"/>
          <w:vertAlign w:val="subscript"/>
        </w:rPr>
        <w:t>iзаяв</w:t>
      </w:r>
      <w:r>
        <w:rPr>
          <w:rFonts w:ascii="Times New Roman"/>
          <w:b w:val="false"/>
          <w:i w:val="false"/>
          <w:color w:val="000000"/>
          <w:vertAlign w:val="subscript"/>
        </w:rPr>
        <w:t> </w:t>
      </w:r>
      <w:r>
        <w:rPr>
          <w:rFonts w:ascii="Times New Roman"/>
          <w:b w:val="false"/>
          <w:i w:val="false"/>
          <w:color w:val="000000"/>
          <w:sz w:val="28"/>
        </w:rPr>
        <w:t>– количество товара (в килограммах), указанное в заявке i-го участника внешнеторговой деятельности;</w:t>
      </w:r>
    </w:p>
    <w:bookmarkEnd w:id="140"/>
    <w:bookmarkStart w:name="z148" w:id="141"/>
    <w:p>
      <w:pPr>
        <w:spacing w:after="0"/>
        <w:ind w:left="0"/>
        <w:jc w:val="both"/>
      </w:pPr>
      <w:r>
        <w:rPr>
          <w:rFonts w:ascii="Times New Roman"/>
          <w:b w:val="false"/>
          <w:i w:val="false"/>
          <w:color w:val="000000"/>
          <w:sz w:val="28"/>
        </w:rPr>
        <w:t>
      B – коэффициент соотношения невыбранного объема специальной квоты и количества товара (в килограммах), указанного во всех заявках участников внешнеторговой деятельности.</w:t>
      </w:r>
    </w:p>
    <w:bookmarkEnd w:id="141"/>
    <w:bookmarkStart w:name="z149" w:id="142"/>
    <w:p>
      <w:pPr>
        <w:spacing w:after="0"/>
        <w:ind w:left="0"/>
        <w:jc w:val="both"/>
      </w:pPr>
      <w:r>
        <w:rPr>
          <w:rFonts w:ascii="Times New Roman"/>
          <w:b w:val="false"/>
          <w:i w:val="false"/>
          <w:color w:val="000000"/>
          <w:sz w:val="28"/>
        </w:rPr>
        <w:t>
      B рассчитывается по следующей формуле:</w:t>
      </w:r>
    </w:p>
    <w:bookmarkEnd w:id="142"/>
    <w:bookmarkStart w:name="z150" w:id="143"/>
    <w:p>
      <w:pPr>
        <w:spacing w:after="0"/>
        <w:ind w:left="0"/>
        <w:jc w:val="both"/>
      </w:pPr>
      <w:r>
        <w:rPr>
          <w:rFonts w:ascii="Times New Roman"/>
          <w:b w:val="false"/>
          <w:i w:val="false"/>
          <w:color w:val="000000"/>
          <w:sz w:val="28"/>
        </w:rPr>
        <w:t>
      B = V</w:t>
      </w:r>
      <w:r>
        <w:rPr>
          <w:rFonts w:ascii="Times New Roman"/>
          <w:b w:val="false"/>
          <w:i w:val="false"/>
          <w:color w:val="000000"/>
          <w:vertAlign w:val="subscript"/>
        </w:rPr>
        <w:t>невыб</w:t>
      </w:r>
      <w:r>
        <w:rPr>
          <w:rFonts w:ascii="Times New Roman"/>
          <w:b w:val="false"/>
          <w:i w:val="false"/>
          <w:color w:val="000000"/>
          <w:sz w:val="28"/>
        </w:rPr>
        <w:t> / V</w:t>
      </w:r>
      <w:r>
        <w:rPr>
          <w:rFonts w:ascii="Times New Roman"/>
          <w:b w:val="false"/>
          <w:i w:val="false"/>
          <w:color w:val="000000"/>
          <w:vertAlign w:val="subscript"/>
        </w:rPr>
        <w:t>заявок</w:t>
      </w:r>
      <w:r>
        <w:rPr>
          <w:rFonts w:ascii="Times New Roman"/>
          <w:b w:val="false"/>
          <w:i w:val="false"/>
          <w:color w:val="000000"/>
          <w:vertAlign w:val="subscript"/>
        </w:rPr>
        <w:t>,</w:t>
      </w:r>
    </w:p>
    <w:bookmarkEnd w:id="143"/>
    <w:bookmarkStart w:name="z151" w:id="144"/>
    <w:p>
      <w:pPr>
        <w:spacing w:after="0"/>
        <w:ind w:left="0"/>
        <w:jc w:val="both"/>
      </w:pPr>
      <w:r>
        <w:rPr>
          <w:rFonts w:ascii="Times New Roman"/>
          <w:b w:val="false"/>
          <w:i w:val="false"/>
          <w:color w:val="000000"/>
          <w:sz w:val="28"/>
        </w:rPr>
        <w:t>
      где:</w:t>
      </w:r>
    </w:p>
    <w:bookmarkEnd w:id="144"/>
    <w:bookmarkStart w:name="z152" w:id="14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невыб</w:t>
      </w:r>
      <w:r>
        <w:rPr>
          <w:rFonts w:ascii="Times New Roman"/>
          <w:b w:val="false"/>
          <w:i w:val="false"/>
          <w:color w:val="000000"/>
          <w:sz w:val="28"/>
        </w:rPr>
        <w:t> – невыбранный объем специальной квоты;</w:t>
      </w:r>
    </w:p>
    <w:bookmarkEnd w:id="145"/>
    <w:bookmarkStart w:name="z153" w:id="1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заявок</w:t>
      </w:r>
      <w:r>
        <w:rPr>
          <w:rFonts w:ascii="Times New Roman"/>
          <w:b w:val="false"/>
          <w:i w:val="false"/>
          <w:color w:val="000000"/>
          <w:sz w:val="28"/>
        </w:rPr>
        <w:t> – общее количество товара (в килограммах), указанное во всех заявках участников внешнеторговой деятельности.</w:t>
      </w:r>
    </w:p>
    <w:bookmarkEnd w:id="146"/>
    <w:bookmarkStart w:name="z154" w:id="147"/>
    <w:p>
      <w:pPr>
        <w:spacing w:after="0"/>
        <w:ind w:left="0"/>
        <w:jc w:val="both"/>
      </w:pPr>
      <w:r>
        <w:rPr>
          <w:rFonts w:ascii="Times New Roman"/>
          <w:b w:val="false"/>
          <w:i w:val="false"/>
          <w:color w:val="000000"/>
          <w:sz w:val="28"/>
        </w:rPr>
        <w:t>
      49. В случае если в заявке, поданной в соответствии с пунктом 44 настоящего Порядка, указано количество товара, превышающее невыбранный объем специальной квоты, заявленное участником внешнеторговой деятельности количество товара признается равным невыбранному объему специальной квоты.</w:t>
      </w:r>
    </w:p>
    <w:bookmarkEnd w:id="147"/>
    <w:bookmarkStart w:name="z155" w:id="148"/>
    <w:p>
      <w:pPr>
        <w:spacing w:after="0"/>
        <w:ind w:left="0"/>
        <w:jc w:val="both"/>
      </w:pPr>
      <w:r>
        <w:rPr>
          <w:rFonts w:ascii="Times New Roman"/>
          <w:b w:val="false"/>
          <w:i w:val="false"/>
          <w:color w:val="000000"/>
          <w:sz w:val="28"/>
        </w:rPr>
        <w:t>
      50. В случае если совокупное количество товара (в килограммах), указанное во всех заявках, поданных в соответствии с пунктом 44 настоящего Порядка, не превышает невыбранный объем специальной квоты, невыбранный объем специальной квоты распределяется между участниками внешнеторговой деятельности по количеству товара (в килограммах), указанному в заявках.</w:t>
      </w:r>
    </w:p>
    <w:bookmarkEnd w:id="148"/>
    <w:bookmarkStart w:name="z156" w:id="149"/>
    <w:p>
      <w:pPr>
        <w:spacing w:after="0"/>
        <w:ind w:left="0"/>
        <w:jc w:val="both"/>
      </w:pPr>
      <w:r>
        <w:rPr>
          <w:rFonts w:ascii="Times New Roman"/>
          <w:b w:val="false"/>
          <w:i w:val="false"/>
          <w:color w:val="000000"/>
          <w:sz w:val="28"/>
        </w:rPr>
        <w:t>
      51. Срок действия разовой лицензии в отношении невыбранного объема специальной квоты составляет:</w:t>
      </w:r>
    </w:p>
    <w:bookmarkEnd w:id="149"/>
    <w:bookmarkStart w:name="z157" w:id="150"/>
    <w:p>
      <w:pPr>
        <w:spacing w:after="0"/>
        <w:ind w:left="0"/>
        <w:jc w:val="both"/>
      </w:pPr>
      <w:r>
        <w:rPr>
          <w:rFonts w:ascii="Times New Roman"/>
          <w:b w:val="false"/>
          <w:i w:val="false"/>
          <w:color w:val="000000"/>
          <w:sz w:val="28"/>
        </w:rPr>
        <w:t xml:space="preserve">
      а) при подаче участниками внешнеторговой деятельности в уполномоченный орган документов, указанных в пункте 7 настоящего Порядка, в сроки, указанные в подпункте "а" пункта 44 настоящего Порядка, – по 31 июля 2020 г. включительно;   </w:t>
      </w:r>
    </w:p>
    <w:bookmarkEnd w:id="150"/>
    <w:bookmarkStart w:name="z158" w:id="151"/>
    <w:p>
      <w:pPr>
        <w:spacing w:after="0"/>
        <w:ind w:left="0"/>
        <w:jc w:val="both"/>
      </w:pPr>
      <w:r>
        <w:rPr>
          <w:rFonts w:ascii="Times New Roman"/>
          <w:b w:val="false"/>
          <w:i w:val="false"/>
          <w:color w:val="000000"/>
          <w:sz w:val="28"/>
        </w:rPr>
        <w:t>
      б) при подаче участниками внешнеторговой деятельности в уполномоченный орган документов, указанных в пункте 7 настоящего Порядка, в сроки, указанные в подпункте "б" пункта 44 настоящего Порядка, – по 30 ноября 2020 г. включительно.</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