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6ea2" w14:textId="7a66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2019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Положение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следующие изменения: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пункт 5 после абзаца второго дополнить абзацем следующего содержания: "радиоэлектронные средства и (или) высокочастотные устройства включены в состав бортового оборудования воздушных, водных судов;";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подпункте "в" пункта 9: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составе бортового оборудования воздушных, морских (речных) судов, а также" исключить;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"морские (речные)" заменить словом "водные".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