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6ea2" w14:textId="7a66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2019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следующие изменения: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пункт 5 после абзаца второго дополнить абзацем следующего содержания: "радиоэлектронные средства и (или) высокочастотные устройства включены в состав бортового оборудования воздушных, водных судов;";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подпункте "в" пункта 9: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составе бортового оборудования воздушных, морских (речных) судов, а также" исключить;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"морские (речные)" заменить словом "водные".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