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3b5f0" w14:textId="3a3b5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введения в действие изменений в технический регламент Таможенного союза "О безопасности парфюмерно-косметической продукции" (ТР ТС 009/2011)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9 июля 2019 года № 112.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с учетом Решения Совета Евразийской экономической комиссии от 29 марта 2019 г. № 32 "О внесении изменений в технический регламент Таможенного союза "О безопасности парфюмерно-косметической продукции" (ТР ТС 009/2011)"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Установить, что: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документы о подтверждении соответствия парфюмерно-косметической продукции, в отношении которой Решением Совета Евразийской экономической комиссии от 29 марта 2019 г. № 32 внесены изменения, обязательным требованиям, установленным техническим регламентом Таможенного союза "О безопасности парфюмерно-косметической продукции" (ТР ТС 009/2011), принятым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23 сентября 2011 г. № 799 (далее – технический регламент), принятые до 5 мая 2020 г. включительно, действительны до окончания срока их действия;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документы о государственной регистрации парфюмерно-косметической продукции, в отношении которой Решением Совета Евразийской экономической комиссии от 29 марта 2019 г. № 32 внесены изменения, подтверждающие соответствие обязательным требованиям, установленным техническим регламентом, выданные до 5 мая 2020 г. включительно, действительны до 5 мая 2023 г. включительно;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при замене документов, указанных в подпункте "б" настоящего пункта,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оформления свидетельства о государственной регистрации продукции, утвержденных Решением Коллегии Евразийской экономической комиссии от 30 июня 2017 г. № 80, такие документы действительны до 5 мая 2023 г. включительно;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производство и выпуск в обращение на таможенной территории Евразийского экономического союза продукции, являющейся объектом технического регулирования технического регламента, при наличии документов об оценке соответствия, указанных в подпунктах "а" и "б" настоящего пункта, допускаются до окончания срока действия таких документов;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 обращение продукции, являющейся объектом технического регулирования технического регламента, выпущенной в обращение в период действия документов об оценке соответствия, указанных в подпунктах "а" и "б" настоящего пункта, допускается в течение срока годности этой продукции, установленного изготовителем.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21.12.2021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опубликования, но не ранее 6 мая 2020 г.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