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0694" w14:textId="8be0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375 и Решение Коллегии Евразийской экономической комиссии от 11 декабря 2018 г.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2019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слова "О некоторых" заменить словами "Об отдельных".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203 "О некоторых вопросах применения таможенных процедур" следующие изменения: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"статьи 163," дополнить словами "пунктом 3 статьи 168,";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 срок переработки товаров на таможенной территории Евразийского экономического союза, являющихся продукцией гражданского авиастроения и судостроения (воздушные суда, водные суда), продукцией военного назначения и машинотехнической продукцией, продолжительность производственного процесса изготовления или ремонта которых либо их частей превышает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Таможенного кодекса Евразийского экономического союза, а также товаров, предназначенных для их изготовления, ремонта и (или) модернизации, не может превышать 5 лет.".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Комиссии Таможенного союза от 20 сентября 2010 г. № 375 "О некоторых вопросах применения таможенных процедур";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2012 г. № 267 "О внесении изменений в Решение Комиссии Таможенного союза от 20 сентября 2010 г. № 375";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вносимых в решения Комиссии Таможенного союза и Коллегии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14 ноября 2017 г. № 147).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