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f203" w14:textId="815f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"Пищевая продукция в части ее маркировки" (ТР ТС 022/2011)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января 2019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пунктом 11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течение 24 месяцев с даты вступления в силу изменений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"Пищевая продукция в части ее маркировки" (ТР ТС 022/2011), внесенных Решением Совета Евразийской экономической комиссии от 14 сентября 2018 г. № 75, допускаются производство и выпуск в обращение на таможенной территории Евразийского экономического союза пищевой продукциив соответствии с обязательными требованиями в части ее маркировки,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"Пищевая продукция в части ее маркировки" (TP ТС 022/2011), принятым Решением Комиссии Таможенного союза от 9 декабря 2011 г. № 881;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обращение продукции, указанной в подпункте "а" настоящего пункта, допускается в течение срока годности, установленного ее изготовителем.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