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f203" w14:textId="815f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"Пищевая продукция в части ее маркировки" (ТР ТС 022/2011)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января 2019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пунктом 11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течение 24 месяцев с даты вступления в силу изменений в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"Пищевая продукция в части ее маркировки" (ТР ТС 022/2011), внесенных Решением Совета Евразийской экономической комиссии от 14 сентября 2018 г. № 75, допускаются производство и выпуск в обращение на таможенной территории Евразийского экономического союза пищевой продукциив соответствии с обязательными требованиями в части ее маркировки,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"Пищевая продукция в части ее маркировки" (TP ТС 022/2011), принятым Решением Комиссии Таможенного союза от 9 декабря 2011 г. № 881;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обращение продукции, указанной в подпункте "а" настоящего пункта, допускается в течение срока годности, установленного ее изготовителем.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