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c86d" w14:textId="448c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и распределении обязанностей между членами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20 декабря 2019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и пунктом 40 Положения о Евразийской экономической комиссии (приложение № 1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1.Утратил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Признать утратившими силу решения Высшего Евразийского экономического совета по перечню согласно приложению.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1 февраля 2020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г. № 29 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решений Высшего Евразийского экономического совета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11 "О назначении члена Коллегии Евразийской экономической комиссии".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14 апреля 2017 г. № 4 "О назначении члена Коллегии Евразийской экономической комиссии".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14 апреля 2017 г. № 5 "О назначении члена Коллегии Евразийской экономической комиссии".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12 февраля 2018 г. № 2 "О назначении члена Коллегии Евразийской экономической комиссии".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Высшего Евразийского экономического совета от 31 августа 2018 г. № 17 "О назначении членов Коллегии Евразийской экономической комиссии".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мая 2019 г. № 2 "О назначении члена Коллегии Евразийской экономической комиссии".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2019 г. № 14 "О назначении члена Коллегии Евразийской экономической комиссии".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 октября 2019 г. № 27 "О назначении члена Коллегии Евразийской экономической комиссии".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2019г. № 29 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обязанностей между членами Коллегии Евразийской экономической комиссии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Распределение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