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c77b" w14:textId="33fc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2020 год размер пошлины, уплачиваемой хозяйствующими субъектами при обращении в Суд Евразийского экономического союза, в размере 46 139 российских рублей в соответствии с прогнозируемым при подготовке проекта бюджета Евразийского экономического союза на 2020 год индексом роста потребительских цен, составляющим 3,0 процента.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января 2020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