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d3682" w14:textId="c6d36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общих подходах к урегулированию спорных ситуаций, возникающих на внешней границе Евразийского экономического союза с перевозчиками третьих стран, возврату транспортных средств в случае выявления нарушений условий международных автомобильных перевозок по территории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25 декабря 2018 года № 31.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в соответствии с пунктом 34 плана мероприятий ("дорожной карты") по реализации Основных направлений и этапов реализации скоординированной (согласованной) транспортной политики государств – членов Евразийского экономического союза на 2018 – 2020 годы,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межправительственного совета от 25 октября 2017 г. № 3, для урегулирования спорных ситуаций, возникающих с перевозчиками третьих стран в случае выявления нарушений условий международных автомобильных перевозок при осуществлении транспортного (автомобильного) контроля в контрольных пунктах, расположенных на внешней границе Евразийского экономического союза (далее – Союз),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рекомендует государствам – членам Союза (далее – государства-члены) с даты опубликования настоящей Рекомендации на официальном сайте Союза: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Рассматривать как спорную ситуацию разногласия, которые возникают между перевозчиком третьей страны и органом государства-члена, осуществляющим транспортный (автомобильный) контроль на внешней границе Союза, в отношении соответствия (несоответствия) контролируемых параметров транспортного средства, отсутствия документов, предусмотренных актами органов Союза и законодательством государств-членов, или их несоответствия установленным требованиям и для урегулирования которых требуется получение дополнительной информации от органа транспортного (автомобильного) контроля другого государства-члена в целях принятия контролирующим органом решения о пропуске, возврате или задержании транспортного средства.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Обеспечить организацию: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оперативного взаимодействия между органами транспортного (автомобильного) контроля государств-членов при возникновении спорных ситуаций;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обмена между органами транспортного (автомобильного) контроля государств-членов, уполномоченными на взаимодействие по вопросам разрешения спорных ситуаций, контактными данными, а также информацией о контрольных пунктах, в адрес которых направляется информация о выданных уведомлениях о представлении недостающих документов и подтверждении устранения несоответствия контролируемых параметров;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регулярного обмена между органами транспортного (автомобильного) контроля копиями международных договоров государств-членов с третьими странами в области международных автомобильных перевозок (в том числе информацией о внесенных в них изменениях).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