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c87" w14:textId="3907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автомобильным дорогам, планируемым для включения в перечень евразийских транспортных коридоров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декабря 2018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27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при подготовке предложений о включении автомобильных дорог в перечень евразийских транспортных коридоров учитывать следующие требования, предъявляемые к таким дорогам: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должны являться: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дорогами общего пользования межгосударственного значения (для дорог, проходящих по территории Республики Армения);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дорогами общего пользования республиканского значения и (или) частными автомобильными дорогами общего пользования (для дорог, проходящих по территории Республики Беларусь);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дорогами общего пользования международного и республиканского значения (для дорог, проходящих по территории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дорогами общего пользования международного значения и (или) частными автомобильными дорогами (для дорог, проходящих по территории Кыргызской Республики);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дорогами общего пользования федерального значения и (или) частными автомобильными дорогами общего пользования (для дорог, проходящих по территории Российской Федерации);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а также связанные с ними процессы проектирования, строительства, реконструкции, капитального ремонта и эксплуатации и применяемые дорожно-строительные материалы и изделия должны соответствовать требованиям технического регламента Таможенного союза "Безопасность автомобильных дорог" (TP ТС 014/2011), принятого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827;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среднего уровня загрузки автомобильных дорог, определяемого как отношение фактической интенсивности движения к проектной пропускной способности, не должно превышать 0,8;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расчетной (нормативной) нагрузки на одиночную ось при проектировании, строительстве, реконструкции, капитальном ремонте автомобильных дорог не должно быть менее 11,5 тонны (за исключением ранее реабилитированных и реконструированных автомобильных дорог с расчетной (нормативной) нагрузкой на одиночную ось менее 11,5 тонны – до истечения межремонтного срока их эксплуатации);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строящиеся и реконструируемые автомобильные дороги не должны проходить по улично-дорожной сети населенных пунктов (должны следовать в обход населенных пунктов), а участки существующих автомобильных дорог должны следовать в обход населенных пунктов (по возможности);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должны быть обустроены работающими в автоматическом режиме специальными техническими средствами, имеющими функции фото- и (или) киносъемки, видеозаписи для фиксации нарушений правил дорожного движения, сохранности автомобильных дорог в целях осуществления весового и габаритного контроля транспортных средств, а также табло переменной информации в целях информирования участников дорожного движения о дорожно-транспортной ситуации;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должны быть обеспечены такими объектами сервиса, как мотели (кемпинги), пункты общественного питания, автозаправочные станции (в том числе предоставляющие возможность осуществления заправки транспортных средств газовым моторным топливом, а также имеющие в наличии моечные пункты и предприятия торговли), станции технического обслуживания, стоянки (площадки для отдыха).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