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7c87" w14:textId="3907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требованиях, предъявляемых к автомобильным дорогам, планируемым для включения в перечень евразийских транспортных коридоров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25 декабря 2018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27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 г. № 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Евразийского экономического союза при подготовке предложений о включении автомобильных дорог в перечень евразийских транспортных коридоров учитывать следующие требования, предъявляемые к таким дорогам: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должны являться: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дорогами общего пользования межгосударственного значения (для дорог, проходящих по территории Республики Армения);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дорогами общего пользования республиканского значения и (или) частными автомобильными дорогами общего пользования (для дорог, проходящих по территории Республики Беларусь);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дорогами общего пользования международного и республиканского значения (для дорог, проходящих по территории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дорогами общего пользования международного значения и (или) частными автомобильными дорогами (для дорог, проходящих по территории Кыргызской Республики);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дорогами общего пользования федерального значения и (или) частными автомобильными дорогами общего пользования (для дорог, проходящих по территории Российской Федерации);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автомобильные дороги, а также связанные с ними процессы проектирования, строительства, реконструкции, капитального ремонта и эксплуатации и применяемые дорожно-строительные материалы и изделия должны соответствовать требованиям технического регламента Таможенного союза "Безопасность автомобильных дорог" (TP ТС 014/2011), принятого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827;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среднего уровня загрузки автомобильных дорог, определяемого как отношение фактической интенсивности движения к проектной пропускной способности, не должно превышать 0,8;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расчетной (нормативной) нагрузки на одиночную ось при проектировании, строительстве, реконструкции, капитальном ремонте автомобильных дорог не должно быть менее 11,5 тонны (за исключением ранее реабилитированных и реконструированных автомобильных дорог с расчетной (нормативной) нагрузкой на одиночную ось менее 11,5 тонны – до истечения межремонтного срока их эксплуатации);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строящиеся и реконструируемые автомобильные дороги не должны проходить по улично-дорожной сети населенных пунктов (должны следовать в обход населенных пунктов), а участки существующих автомобильных дорог должны следовать в обход населенных пунктов (по возможности);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должны быть обустроены работающими в автоматическом режиме специальными техническими средствами, имеющими функции фото- и (или) киносъемки, видеозаписи для фиксации нарушений правил дорожного движения, сохранности автомобильных дорог в целях осуществления весового и габаритного контроля транспортных средств, а также табло переменной информации в целях информирования участников дорожного движения о дорожно-транспортной ситуации;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должны быть обеспечены такими объектами сервиса, как мотели (кемпинги), пункты общественного питания, автозаправочные станции (в том числе предоставляющие возможность осуществления заправки транспортных средств газовым моторным топливом, а также имеющие в наличии моечные пункты и предприятия торговли), станции технического обслуживания, стоянки (площадки для отдыха).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