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5f27" w14:textId="9025f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собирательных классификационных группировках видов экономической деятельности для формирования статистических показателей в целях реализации цифровой повестки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17 июля 2018 года № 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12 </w:t>
      </w:r>
      <w:r>
        <w:rPr>
          <w:rFonts w:ascii="Times New Roman"/>
          <w:b w:val="false"/>
          <w:i w:val="false"/>
          <w:color w:val="000000"/>
          <w:sz w:val="28"/>
        </w:rPr>
        <w:t>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при формировании статистических показателей в целях реализации цифровой повестки Евразийского экономического союза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 – членам Евразийского экономического союза с даты опубликования настоящей Рекомендации на официальном сайте Евразийского экономического союза обеспечить применение международных стандартов "Статистическая классификация видов экономической деятельности в Европейском экономическом сообществе Ред.2 (КДЕС Ред.2)" и "Международная стандартная отраслевая классификация всех видов экономической деятельности Ред.4 (МСОК Ред.4)" в части собирательных классификационных группировок видов экономической деятельности, перечень которых размещен на официальном сайте Евразийского экономического союза по адресу: http://eec.eaeunion.org/ru/act/integr_i_makroec/dep_stat/union_stat/metadata/Pages/classification.aspx.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