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58ed" w14:textId="b935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концепции применения специальных режимов ("регулятивных песочниц") в рамках реализации цифровой повестки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27 ноября 2018 года № 17.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Основными направлениями реализации цифровой повестки Евразийского экономического союза до 2025 года, в целях формирования правовых оснований для реализации пилотных проектов в рамках цифровой повестки Евразийского экономического союза (далее соответственно – цифровая повестка, Союз), отработки на пилотных проектах моделей регулирования и определения наиболее эффективной модели, стимулирующей интеграционные процессы и соответствующей вызовам цифровой трансформации отраслей и рынков, а также ускоренного достижения практических результатов проработки инициатив и реализации проектов в рамках цифровой повестки: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Евразийской экономической комиссии совместно с правительствами государств – членов Союза (далее – государства-члены) разработать проект концепции применения специальных режимов ("регулятивных песочниц") в рамках реализации цифровой повестки (далее – специальные режимы) с учетом следующего: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специальным режимом определяются временные регуляторные рамки реализации пилотного проекта и порядок взаимодействия его участников (далее – содержание специального режима);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при формировании содержания специального режима для каждого пилотного проекта определяются порядок мониторинга, контроля, ожидаемые результаты, условия изменения, продления и завершения применяемого специального режима;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во всех случаях, не установленных содержанием специального режима, применяются нормы и правила регулирования в соответствии с правом Союза или законодательством государств-членов;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 учетом мониторинга применения специальных режимов и достигнутых результатов могут вырабатываться предложения о внесении изменений в право Союза и (или) законодательство государств-членов;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целесообразность применения и содержание специального режима определяется Евразийским межправительственным советом или Высшим Евразийским экономическим советом;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регуляторные нормы специального режима должны соответствовать общественным и экономическим интересам государств-членов, специальный режим вступает в действие при готовности к его реализации не менее 2 государств-членов.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Целесообразно исключить финансовый рынок как сферу применения специального режима.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по истечении 10 календарных дней с даты его опубликования на официальном сайте Союза.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Евразийского межправительственного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