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8cc6" w14:textId="2778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совместных прогнозах развития агропромышленного комплекса, балансах спроса и предложения государств - членов Евразийского экономического союза по сельскохозяйственной продукции, продовольствию, льноволокну, кожевенному сырью, хлопковолокну и шерсти на 2017 - 2018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02 февраля 2018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1. 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 опубликовать на официальном сайте Евразийского экономического союза разработанные и согласованные государствами - членами Евразийского экономического союза совместные прогнозы развития агропромышленного комплекса, балансы спроса и предложения государств - членов Евразийского экономического союза по сельскохозяйственной продукции, продовольствию, льноволокну, кожевенному сырью, хлопковолокну и шерсти на 2017 - 2018 годы для их использования государствами - членами Евразийского экономического союза в целях увеличения объемов взаимной торговли.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2. </w:t>
      </w:r>
      <w:r>
        <w:rPr>
          <w:rFonts w:ascii="Times New Roman"/>
          <w:b w:val="false"/>
          <w:i/>
          <w:color w:val="000000"/>
          <w:sz w:val="28"/>
        </w:rPr>
        <w:t>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