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816" w14:textId="d24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декабря 2018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правительства государств – членов Евразийского экономического союза предусмотреть финансирование мероприятий, необходимых для создания, обеспечения функционирования и развития национальных сегментов государств – членов Евразийского экономического союза интегрированной информационной системы Евразийского экономического союза, а также реализации в национальных сегментах средствами указанной системы общих процессов по направлениям в соответствии с приложением № 1 к плану, утвержденному настоящим распоряжением, согласно установленным срокам.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г.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22)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распоряжения Совета Евразийской экономической комиссии от 29.09.2020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1914"/>
        <w:gridCol w:w="896"/>
        <w:gridCol w:w="896"/>
        <w:gridCol w:w="1953"/>
        <w:gridCol w:w="1063"/>
        <w:gridCol w:w="1185"/>
      </w:tblGrid>
      <w:tr>
        <w:trPr>
          <w:trHeight w:val="30" w:hRule="atLeast"/>
        </w:trPr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 рублей)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136 553,0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актуализация перечня общих процессов в рамках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14 апреля 2015 г. № 29 (далее – перечень общих процессов), в соответствии с перечнем направлений для реализации общих процессов в рамках Евразийского экономического союза согласно приложению № 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уполномоченные органы государств –членов Союза (далее соответственно – уполномоченные органы, государства-члены)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разработка нормативно-методических документов о развитии технологии общих процессов во взаимосвязи с моделью данных Союза, в том числе при реализации комплексных проектов, затрагивающих несколько сфер регулирования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нормативно-методических документов, регламентирующих осуществление межгосударственных (трансграничных) электронных услуг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разработка и актуализация инструктивно-методических документов, регламентирующих проведение технической экспертизы компонентов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разработка технических решений по развитию вычислительной инфраструктуры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разработка и актуализация инструктивно-методических документов о формировании и совершенствовании единой системы нормативно-справочной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развитие модели данных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актуализация перечня приоритетных для реализации межгосударственных (трансграничных) электронных услуг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межгосударственных (трансграничных) электронных услуг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актуализация плана мероприятий по формированию и совершенствованию единой системы нормативно-справочной информации Союза на 2019 – 2020 годы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разработка проектов требований к электронному виду документов, используемых при представлении сведений в электронном виде хозяйствующими субъектами и физическими лицами государств-членов уполномоченным органам (далее – процедуры взаимодействия B2G), в соответствии с перечнем, утверждаемым Комиссией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электронному виду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19 300,0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разработка проектов унифицированных требований к реализации процедур взаимодействия B2G в электронном виде в соответствии с перечнем, утверждаемым Комиссией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требований к процедурам взаимодействия B2G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 разработка справочников и классификаторов единой системы нормативно-справочной информации Союза в соответствии с планом мероприятий, указанным в подпункте "и" настоящего пункта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н) разработка проектов правил реализации общих процессов в соответствии с перечнем общих процессов и Порядком реализации общих процессов в рамках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19 декабря 2016 г. № 169 (далее – Порядок реализации общих процессов)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разработка проектов технологических документов, регламентирующих информационное взаимодействие при реализации общих процессов (далее – технологические документы),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документов, протоколы демонстрации прототипов программных средств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разработка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 согласование уполномоченными органами проектов правил реализации общих процессов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с) согласование уполномоченными органами проектов технологических документов в соответствии с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т) согласование уполномоченными органами проектов нормативно-технических документов, регламентирующих информационное взаимодействие в соответствии с международными договорами Союза с третьей стороной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у) разработка проектов стандартов и рекомендаций, необходимых для развития и обеспечения функционирования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 рекомендации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ф) разработка частных технических заданий на модернизацию и создание подсистем и компонентов интеграционного сегмента Комиссии интегрированной системы (далее – интеграционный сегмент Комиссии) в соответствии с техническим заданием на создание интегрированной системы и перечнем согласно приложению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1 – 11)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х) разработка инструктивно-методических документов, регламентирующих порядок использования сервисов интегрированной системы при формировании цифровой платформы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инструктивно-методических документов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ц) разработка технических решений и инструментов для использования сервисов интегрированной системы при формировании цифровой платформы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39 150,0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ч) техническая экспертиза работ, выполняемых при общесистемном проектировании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ш) комплексная техническая экспертиза интегрированной информационной системы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работ, проекты инструктивно-методических документов, проекты стандартов и рекомендаций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модернизация подсистем в составе интеграционного сегмента Комиссии в соответствии с техническим заданием на создание интегрированной системы и приложением № 2 к настоящему плану (пункты 1 – 11)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(модернизация и развитие) программного обеспечения сервисов общих процессов в составе интеграционного сегмента Комиссии в соответствии с приложением № 1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147 880,0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создание (модернизация и развитие) базовых компонентов программного обеспечения сервисов общих процессов для их использования при проведении межгосударственных испытаний интегрированной системы и в национальных сегментах заинтересованных государств-членов интегрированной системы (далее – национальные сегменты) в соответствии с приложением № 1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создание (модернизация и развитие) сервисов, обеспечивающих возможность формирования заинтересованными лицами необходимых для реализации процедур взаимодействия B2G документов в электронном виде в соответствии с унифицированными требованиями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проведение тестирования информационного взаимодействия между информационными системами участников общих процессов в соответствии с порядками присоединения, входящими в состав технологических документов, перечнем общих процессов и Порядком реализации общих процессов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тестирования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техническая экспертиза работ по модернизации и развитию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Координация работ по модернизации и развитию национальных сегментов,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планов модернизации и развития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модернизации и развития национальных сегментов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модернизация и развитие национальных сегментов в соответствии с планами, предусмотренными подпунктом "а" настоящего пункта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государства-члена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разработка и модернизация (при необходимости) программных средств (адаптеров) для обеспечения взаимодействия между интеграционным шлюзом национального сегмента и применяемой в государстве-члене системой межведомственного взаимодействия в электронном виде (для интеграционных шлюзов национальных сегментов, реализованных на основе типового шлюза)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обеспечение реализации общих процессов в национальных сегментах в соответствии с приложением № 1 к настоящему плану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подготовка отчетов о ходе работ по модернизации и развитию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и развитие инфраструктуры трансграничного пространства доверия,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и актуализация проектов нормативных правовых актов и организационно-технических документов для реализации требований к созданию, развитию и функционированию трансграничного пространства доверия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 (в том числе о внесении изменений в акты органов Союза), концепции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создание и утверждение архитектуры трансграничного пространства доверия 2-го этапа развития, включая технические требования к интеграционному компоненту общей инфраструктуры документирования информации в электронном виде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архитектуры, технические требования, 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модернизация и развитие подсистемы доверенной третьей стороны в соответствии с пунктом 12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модернизация и развитие удостоверяющего центра службы доверенной третьей стороны интегрированной системы в соответствии с пунктом 13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модернизация и развитие удостоверяющего центра Комиссии в соответствии с пунктом 14 приложения № 2 к настоящему плану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создание инфраструктуры управления привилегиями и полномочиями субъектов электронного взаимодействия для обеспечения контроля правомерности применения электронных цифровых подписей в исходящих (входящих) электронных документах в соответствии с законодательством государств-членов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частные технические задания, 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обеспечение технической поддержки гарантийного и послегарантийного обслуживания удостоверяющего центра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обеспечение технической поддержки, гарантийного и послегарантийного обслуживания подсистемы доверенной третьей стороны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обеспечение технической поддержки гарантийного и послегарантийного обслуживания подсистем доверенной третьей стороны государств-членов (при необходимости)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Реализация проекта по совместной разработке специализированных средств криптографической защиты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задания, документация технического проекта, рабочая конструкторская документация, отчет о проведении патентных исследований, опытные образцы, протоколы и акты проведения испытаний опытных образцов,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217 222,0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аренда каналов передачи данных для взаимодействия между интеграционным сегментом Комиссии и национальными сегментами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43 080,2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42 996,3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приобретение услуг центра обработки данных для обеспечения функционирования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22 124,1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87 978,9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62 585,7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сопровождение разработанных в 2015 – 2018 годах подсистем и компонентов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актуализация справочников и классификаторов единой системы нормативно-справочной информации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справочники и классификаторы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сопровождение и обеспечение функционирования интеграционных шлюзов национальных сегментов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техническая экспертиза работ по поддержке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Обучение пользователей работе со средствами информатизации, в том числе: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обучение сотрудников и должностных лиц Комиссии работе с подсистемами интегрированной системы в составе интеграционного сегмента Комиссии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обучение представителей уполномоченных органов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организация и проведение мероприятий по продвижению сервисов интегрированной системы среди физических лиц и хозяйствующих субъектов государств-членов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организация и проведение конкурсов инновационных проектов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7 настоящего плана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768 983,2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674 335,0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 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нормативно-технических документов, технорабочие проекты, акты выполненных работ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768 983,2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1 174 335,0</w:t>
            </w:r>
          </w:p>
        </w:tc>
      </w:tr>
    </w:tbl>
    <w:bookmarkStart w:name="z9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осуществляется за счет средств бюджета Союза.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 Финансирование мероприятий в части, касающейся работ, выполняемых в национальных сегментах, осуществляется за счет средств бюджетов государств-членов.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 Состав и сроки выполнения мероприятий определяются соответствующими порядками присоединения, входящими в состав утверждаемых Комиссией технологических документов.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 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мероприятий и проектов осуществляется после принятия актов органов Союза об инициации и реализации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20 г. № 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  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Комиссия по проверке компонентов общей инфраструктуры документирования информации в электронном виде на соответствие требованиям к созданию, развитию и функционированию трансграничного пространства доверия (далее – межгосударственная комиссия)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применяемые в настоящем Положении, используются в значениях, определенных Требованиями к созданию, развитию и функционированию трансграничного пространства доверия, утвержденными Решением Совета Евразийской экономической комиссии от 20 г. № (далее – Требования).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состав межгосударственной комиссии включаются должностные лица Евразийской экономической комиссии (далее – Комиссия) и представители уполномоченных органов государств – членов Евразийского экономического союза (далее соответственно – уполномоченные органы, государства-члены), к компетенции которых относятся вопросы создания национальных сегментов государств-членов интегрированной информационной системы Евразийского экономического союза, обеспечения информационной безопасности и юридической значимости электронных документов, используемых в рамках трансграничного электронного документооборота, с учетом равного представительства государств-членов.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Состав межгосударственной комиссии утверждается распоряжением Совета Комиссии.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Председателем межгосударственной комиссии является член Коллегии Комиссии, к компетенции которого относятся вопросы информатизации и информационно-коммуникационных технологий.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межгосударственной комиссии осуществляет общее руководство работой межгосударственной комиссии.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 решению межгосударственной комиссии в ее составе могут быть сформированы подкомиссии, а также рабочие и экспертные группы.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Решения межгосударственной комиссии принимаются консенсусом.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Порядок проведения заседаний межгосударственной комиссии, формирования подкомиссий, рабочих и экспертных групп, привлечения экспертов, принятия межгосударственной комиссией решений и их оформления, а также формы документов, принимаемых межгосударственной комиссией, устанавливаются регламентом работы межгосударственной комиссии, определяемым Комиссией.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Межгосударственная комиссия выполняет следующие основные функции: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 предложениям уполномоченных органов и Комиссии формирует и утверждает план-график проведения проверок государственных и интеграционного компонентов общей инфраструктуры документирования информации в электронном виде на соответствие Требованиям;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разрабатывает и представляет для рассмотрения Коллегией Комиссии методические документы по проведению проверок на соответствие Требованиям элементов, входящих в состав государственных и интеграционного компонентов общей инфраструктуры документирования информации в электронном виде, а также мер и способов обеспечения защиты информации, реализуемых операторами общей инфраструктуры документирования информации в электронном виде в отношении таких элементов (далее – проверки);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проводит на основании заявлений уполномоченных органов и Комиссии проверки в соответствии пунктом 11 данного Положения;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подготавливает заключение о необходимости включения сведений об элементах, входящих в состав государственных и интеграционного компонентов общей инфраструктуры документирования информации в электронном виде, в том числе сведений об операторах таких элементов, в перечень элементов общей инфраструктуры документирования информации в электронном виде, утверждаемый Комиссией (далее – перечень);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оценивает перечень на предмет соответствия приложению № 1 к Требованиям, в том числе достаточности включенных в перечень сведений для осуществления межгосударственного обмена данными и электронными документами органов государственной власти государств-членов между собой и с Комиссией.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Проверки проводятся в порядке и сроки, которые определяются регламентом работы межгосударственной комиссии.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Проверка выполняется последовательно в 2 этапа: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оценка соответствия элемента, входящего в состав государственного или интеграционного компонента общей инфраструктуры документирования информации в электронном виде Требованиям, осуществляемая на основании сведений, представленных уполномоченным органом или Комиссией в составе заявления о включении такого элемента в перечень (далее – заявление);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подготовка заключения о необходимости включения в перечень элемента, входящего в состав государственного или интеграционного компонента общей инфраструктуры документирования информации в электронном виде.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Порядок представления заявлений и состав указываемых в нем сведений определяются межгосударственной комиссией.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случае выявления несоответствия представленных в составе заявления сведений либо их неполноты межгосударственная комиссия направляет в уполномоченный орган или Комиссию соответствующий акт.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акта уполномоченный орган или Комиссия представляет в межгосударственную комиссию соответствующие сведения либо отзывает заявление.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Межгосударственная комиссия подготавливает заключения о необходимости исключения из перечня элементов, входящих в состав государственных или интеграционного компонентов общей инфраструктуры документирования информации в электронном виде, на основании ходатайств, представлявших заявления уполномоченных органов или Комиссии.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Заключения о необходимости включения в перечень элементов, входящих в состав государственных или интеграционного компонентов общей инфраструктуры документирования информации в электронном виде, или исключения их из перечня подписываются председателем межгосударственной комиссии и направляются в Комиссию.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выявления несоответствия перечня приложению № 1 к Требованиям, в том числе недостаточности включенных в перечень сведений для осуществления межгосударственного обмена данными и электронными документами органов государственной власти государств-членов между собой и с Комиссией, межгосударственная комиссия уведомляет об этом уполномоченные органы или Комиссию и запрашивает недостающие сведения.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прекращения полномочий оператора элемента, входящего в состав государственного или интеграционного компонента общей инфраструктуры документирования информации в электронном виде и включенного в перечень, или выявления существенного нарушения Требований и (или) законодательства государства-члена уполномоченный орган или Комиссия, представившие заявление в отношении такого элемента, направляют в межгосударственную комиссию ходатайство об исключении этого элемента из перечня.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2020 годы  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направлений для реализации общих процессов в рамках Евразийского экономического союза 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Таможенно-тарифное и нетарифное регулирование.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Таможенное регулирование.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Техническое регулирование, применение санитарных, ветеринарно-санитарных и карантинных фитосанитарных мер.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Информационное взаимодействие национальных механизмов "единого окна" в системе регулирования внешнеэкономической деятельности.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Прослеживаемость товаров в Евразийском экономическом союзе.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Зачисление и распределение ввозных таможенных пошлин.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Зачисление и распределение специальных, антидемпинговых и компенсационных пошлин.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Конкурентная (антимонопольная) политика.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Энергетическая политика.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Валютная политика.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Интеллектуальная собственность.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Финансовые рынки (банковская сфера, сфера страхования, валютный рынок, рынок ценных бумаг).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Обеспечение деятельности органов Евразийского экономического союза.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Промышленная политика.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Агропромышленная политика.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Обращение лекарственных средств и медицинских изделий.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Трудовая миграция и социальное обеспечение.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Государственные (муниципальные) закупки.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Функционирование внутренних рынков.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Макроэкономическая политика.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Транспортные перевозки.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Взаимная торговля услугами.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г. № 22)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модернизируемых подсистем и компонентов интеграционного сегмента Евразийской экономической комиссии интегрированной информационной системы Евразийского экономического союза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2 -  в редакции распоряжения Совета Евразийской экономической комиссии от 29.09.2020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3282"/>
        <w:gridCol w:w="970"/>
        <w:gridCol w:w="3282"/>
        <w:gridCol w:w="1335"/>
      </w:tblGrid>
      <w:tr>
        <w:trPr>
          <w:trHeight w:val="30" w:hRule="atLeast"/>
        </w:trPr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 частного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модернизации подсистемы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этап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этап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Информационный портал Евразийского экономического союза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Информационно-аналитическая подсистема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Статистика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Управление проектами и программами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барьеров и препятствий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Таможенно-тарифное и нетарифное регулирование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Техническое регулирование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Управление общими процессами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Интеграционная платформа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Ведение нормативно-справочной информации, реестров и регистров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Информационная безопасность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Доверенная третья сторона Евразийской экономической комиссии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Удостоверяющий центр службы доверенной третьей стороны интегрированной информационной системы Евразийского экономического союза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2019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Удостоверяющий центр Евразийской экономической комиссии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развитию 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2020 годы 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Подсистема, </w:t>
      </w:r>
      <w:r>
        <w:br/>
      </w:r>
      <w:r>
        <w:rPr>
          <w:rFonts w:ascii="Times New Roman"/>
          <w:b/>
          <w:i w:val="false"/>
          <w:color w:val="000000"/>
        </w:rPr>
        <w:t>создаваемая в составе интеграционного сегмента Евразийской экономической комиссии интегрированной информационной системы Евразийского экономического союза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3 исключено распоряжением Совета Евразийской экономической комиссии от 30.01.2020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созданию,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2019 – 2020 годы </w:t>
            </w:r>
          </w:p>
        </w:tc>
      </w:tr>
    </w:tbl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реализации мероприятий, предусмотренных планом мероприятий по созданию, обеспечению функционирования и развитию интегрированной информационной системы Евразийского экономического союза на 2019 – 2020 годы, за счет средств бюджета Евразийского экономического союза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4 исключено распоряжением Совета Евразийской экономической комиссии от 30.01.2020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