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c67" w14:textId="2e56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обеспечение единых подходов при функционировании внутреннего рынка алкогольной и табачной продукции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раздела XVII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указанному Договору),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года, в целях гармонизации ставок акцизов на алкогольную и табачную продукцию, обеспечения единых подходов к обращению такой продукции в рамках Евразийского экономического союза, в том числе выработки единых подходов при взимании обеспечительного платежа в отношении алкогольной продукции: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представить для рассмотрения на очередном заседании Совета Евразийской экономической комиссии вопрос о разногласиях, сдерживающих подписание Соглашения о принципах ведения налоговой политики в области акцизов на алкогольную продукцию государств – членов Евразийского экономического союза, Соглашения о принципах ведения налоговой политики в области акцизов на табачную продукцию государств – членов Евразийского экономического союза и Соглашения о регулировании алкогольного рынка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при наличии разногласий, препятствующих принятию Технического регламента Евразийского экономического союза "О безопасности алкогольной продукции", представить их для рассмотрения на очередном заседании Совета Евразийской экономической комиссии.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