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9b5e" w14:textId="3329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системы надлежащей лабораторной практики в Евразийском экономическом союзе, соответствующей принципам надлежащей лабораторной практики Организации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июня 2018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до 1 января 2020 г. проекта концепции развития системы надлежащей лабораторной практики в Евразийском экономическом союзе, соответствующей принципам надлежащей лабораторной практики Организации экономического сотрудничества и развития, а также предложений по внесению изменений в международные договоры в рамках Евразийского экономического союза и акты органов Евразийского экономического союза: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создать рабочую группу по вопросам создания и развития системы надлежащей лабораторной практики в Евразийском экономическом союзе (далее – рабочая группа) и утвердить ее состав.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Евразийского экономического союза представить в Евразийскую экономическую комиссию кандидатуры для включения в состав рабочей группы, а также информацию о состоянии системы надлежащей лабораторной практики в соответствующем государстве (о принятых нормативных правовых актах, уполномоченных органах, осуществляющих регулирование в указанной сфере, наличии лабораторий, соответствующих принципам надлежащей лабораторной практики (с указанием сферы деятельности), или планов по созданию таких лабораторий).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