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ff71" w14:textId="872f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изменении директив, утвержденных Решением Совета Евразийской экономической комиссии от 12 ноября 2014 г.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2018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частичное изменение директив,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ноября 2014 г. № 101,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переговорной делегации исходить из следующего: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соглашение подписывается на русском и китайском языках, причем оба текста имеют одинаковую силу;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обмен информацией осуществляется на русском или китайском языке. Сведения по отдельным реквизитам могут быть представлены с использованием латинского алфавита;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передаче информации, предоставляемой в кодированном виде, используются классификаторы и справочники, разработанные на основе международных стандартов;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о цене товара предоставляются государствами – членами Евразийского экономического союза и Китайской Народной Республикой с учетом достигнутых договоренностей.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