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65e6" w14:textId="e9b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2018 года № 78.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сентября 2017 г. № 81, в отношении отдельных видов двигателей внутреннего сгорания, классифицируемых кодом 8408 20 990 4 ТН ВЭД ЕАЭС, в размере 0 процентов от таможенной стоимости по 30 сентября 2019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с кодом 8408 20 990 4 ТН ВЭД ЕАЭС ссылку на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23С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01.10.2018 по 30.09.2019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октября 2018 г.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