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2161" w14:textId="05f2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детализированном плане на 2018 год по выполнению плана мероприятий по реализации Основных направлений развития механизма "единого окна" в системе регулирования внешнеэкономической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13 июля 2018 года № 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8 мая 2015 г. № 19 "О плане мероприятий по реализации Основных направлений развития механизма "единого окна" в системе регулирования внешнеэкономической деятельности"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детализированный план на 2018 год по выполнению плана мероприятий по реализации Основных направлений развития механизма "единого окна" в системе регулирования внешнеэкономической деятельности.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4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 Григорян</w:t>
            </w:r>
          </w:p>
          <w:bookmarkEnd w:id="5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Ж. Разаков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Силуанов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июля 2018 г. № 50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ДЕТАЛИЗИРОВАННЫЙ ПЛАН НА 2018 ГОД </w:t>
      </w:r>
      <w:r>
        <w:br/>
      </w:r>
      <w:r>
        <w:rPr>
          <w:rFonts w:ascii="Times New Roman"/>
          <w:b/>
          <w:i w:val="false"/>
          <w:color w:val="000000"/>
        </w:rPr>
        <w:t xml:space="preserve">по выполнению плана мероприятий по реализации Основных направлений развития механизма "единого окна" в системе регулирования внешнеэкономической деятельности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7"/>
        <w:gridCol w:w="516"/>
        <w:gridCol w:w="245"/>
        <w:gridCol w:w="2196"/>
        <w:gridCol w:w="586"/>
      </w:tblGrid>
      <w:tr>
        <w:trPr>
          <w:trHeight w:val="30" w:hRule="atLeast"/>
        </w:trPr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  <w:bookmarkEnd w:id="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перечня мероприятий*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результат</w:t>
            </w:r>
          </w:p>
        </w:tc>
      </w:tr>
      <w:tr>
        <w:trPr>
          <w:trHeight w:val="30" w:hRule="atLeast"/>
        </w:trPr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Развитие национальных механизмов "единого окна" </w:t>
            </w:r>
          </w:p>
          <w:bookmarkEnd w:id="9"/>
        </w:tc>
      </w:tr>
      <w:tr>
        <w:trPr>
          <w:trHeight w:val="30" w:hRule="atLeast"/>
        </w:trPr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 Утверждение детального описания функций и архитектуры эталонной модели национального механизма "единого окна", перечня государственных процедур и услуг, охватываемых этой эталонной моделью, с учетом наднационального сегмента </w:t>
            </w:r>
          </w:p>
          <w:bookmarkEnd w:id="1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1.6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 (далее – Комиссия), государства – члены Евразийского экономического союза (далее соответственно – государства-члены, Союз)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акта органа Союза</w:t>
            </w:r>
          </w:p>
        </w:tc>
      </w:tr>
      <w:tr>
        <w:trPr>
          <w:trHeight w:val="30" w:hRule="atLeast"/>
        </w:trPr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 Разработка, внедрение и оптимизация национальных механизмов "единого окна"</w:t>
            </w:r>
          </w:p>
          <w:bookmarkEnd w:id="1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1.7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 Разработка (доработка) концепций развития национальных механизмов "единого окна"</w:t>
            </w:r>
          </w:p>
          <w:bookmarkEnd w:id="1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 Подготовка (актуализация) планов мероприятий ("дорожных карт") по созданию национальных механизмов "единого окна" с учетом актов органов Союза</w:t>
            </w:r>
          </w:p>
          <w:bookmarkEnd w:id="1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 Реализация пилотных проектов, относящихся к элементам национального механизма "единого окна"</w:t>
            </w:r>
          </w:p>
          <w:bookmarkEnd w:id="1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1.2.4. Анализ реализованных процедур взаимодействия заинтересованных лиц и государственных органов (В2G) в сферах, определенных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планом 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реализации Основных направлений развития механизма "единого окна" в системе регулирования внешнеэкономической деятельности, утвержденным Решением Высшего Евразийского экономического совета от 8 мая 2015 г. № 19 (далее – план мероприятий), на основе опросника, разработанного Комиссией </w:t>
            </w:r>
          </w:p>
          <w:bookmarkEnd w:id="1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1.2.5. Выработка подходов по формированию электронной (цифровой) таможни </w:t>
            </w:r>
          </w:p>
          <w:bookmarkEnd w:id="1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акта органа Союза</w:t>
            </w:r>
          </w:p>
        </w:tc>
      </w:tr>
      <w:tr>
        <w:trPr>
          <w:trHeight w:val="30" w:hRule="atLeast"/>
        </w:trPr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 Развитие электронного документооборота в морских пунктах пропуска государств-членов</w:t>
            </w:r>
          </w:p>
          <w:bookmarkEnd w:id="1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акта органа Союза (концепция)</w:t>
            </w:r>
          </w:p>
        </w:tc>
      </w:tr>
      <w:tr>
        <w:trPr>
          <w:trHeight w:val="30" w:hRule="atLeast"/>
        </w:trPr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1.2.7. Анализ развития электронного документооборота в воздушных пунктах пропуска государств-членов и подготовка заключения</w:t>
            </w:r>
          </w:p>
          <w:bookmarkEnd w:id="1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материалы, проект заключения</w:t>
            </w:r>
          </w:p>
        </w:tc>
      </w:tr>
      <w:tr>
        <w:trPr>
          <w:trHeight w:val="30" w:hRule="atLeast"/>
        </w:trPr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1.2.8. Анализ развития электронного документооборота в железнодорожных пунктах пропуска государств-членов и подготовка заключения</w:t>
            </w:r>
          </w:p>
          <w:bookmarkEnd w:id="1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материалы, проект заключения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Сближение подходов по развитию национальных механизмов "единого окна"</w:t>
            </w:r>
          </w:p>
          <w:bookmarkEnd w:id="20"/>
        </w:tc>
      </w:tr>
      <w:tr>
        <w:trPr>
          <w:trHeight w:val="30" w:hRule="atLeast"/>
        </w:trPr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 Определение приоритетных направлений сближения подходов по развитию национальных механизмов "единого окна"</w:t>
            </w:r>
          </w:p>
          <w:bookmarkEnd w:id="2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2.1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 Формирование перечня инструментов (регламентов, стандартов), направленных на внедрение эталонной модели национального механизма "единого окна"</w:t>
            </w:r>
          </w:p>
          <w:bookmarkEnd w:id="2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рекомендации Комиссии</w:t>
            </w:r>
          </w:p>
        </w:tc>
      </w:tr>
      <w:tr>
        <w:trPr>
          <w:trHeight w:val="30" w:hRule="atLeast"/>
        </w:trPr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 Разработка единых подходов по оптимизации бизнес-процессов</w:t>
            </w:r>
          </w:p>
          <w:bookmarkEnd w:id="2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материалы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Взаимное признание электронных документов, необходимых для осуществления внешнеэкономической деятельности</w:t>
            </w:r>
          </w:p>
          <w:bookmarkEnd w:id="24"/>
        </w:tc>
      </w:tr>
      <w:tr>
        <w:trPr>
          <w:trHeight w:val="30" w:hRule="atLeast"/>
        </w:trPr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 Унификация и гармонизация сведений из документов, необходимых для осуществления внешнеэкономической деятельности, а также содержащихся в электронных документах, оформляемых на территориях государств-членов, в целях их взаимного признания</w:t>
            </w:r>
          </w:p>
          <w:bookmarkEnd w:id="2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3.2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 Проведение работ по дальнейшему развитию модели данных Союза в целях обеспечения гармонизации сведений, необходимых для осуществления внешнеэкономической деятельности</w:t>
            </w:r>
          </w:p>
          <w:bookmarkEnd w:id="2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3.1.2. Разработка унифицированных требований к электронному виду документов (электронным документам), их структурам и форматам в электронном виде, применяемых и взаимно признаваемых в государствах-членах, для процедур B2G, установленных перечнем приоритетных для унификации процедур взаимодействия заинтересованных лиц с государственными органами и (или) уполномоченными организациями государств – членов Евразийского экономического союза в рамках функционирования национальных механизмов "единого окна",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22 декабря 2015 г. № 171 (далее – перечень)</w:t>
            </w:r>
          </w:p>
          <w:bookmarkEnd w:id="2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актов органов Союза</w:t>
            </w:r>
          </w:p>
        </w:tc>
      </w:tr>
      <w:tr>
        <w:trPr>
          <w:trHeight w:val="30" w:hRule="atLeast"/>
        </w:trPr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 Использование сведений из документов, необходимых для осуществления внешнеэкономической деятельности на территориях государств-членов, выданных уполномоченными органами государств, не являющихся членами Союза</w:t>
            </w:r>
          </w:p>
          <w:bookmarkEnd w:id="2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3.4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 Создание правовой основы для функционирования электронной системы сертификации и верификации происхождения товаров между государствами-членами и Социалистической Республикой Вьетнам</w:t>
            </w:r>
          </w:p>
          <w:bookmarkEnd w:id="2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соглашения</w:t>
            </w:r>
          </w:p>
        </w:tc>
      </w:tr>
      <w:tr>
        <w:trPr>
          <w:trHeight w:val="30" w:hRule="atLeast"/>
        </w:trPr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3.3. Обеспечение уникальной идентификации субъектов внешнеэкономической деятельности </w:t>
            </w:r>
          </w:p>
          <w:bookmarkEnd w:id="3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3.5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3.3.1. Выполнение работ по созданию единой системы идентификации участников внешнеэкономической деятельности</w:t>
            </w:r>
          </w:p>
          <w:bookmarkEnd w:id="3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на Совете Комиссии проекта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возможными замечаниями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Организация информационного взаимодействия</w:t>
            </w:r>
          </w:p>
          <w:bookmarkEnd w:id="32"/>
        </w:tc>
      </w:tr>
      <w:tr>
        <w:trPr>
          <w:trHeight w:val="30" w:hRule="atLeast"/>
        </w:trPr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 Унификация процедур взаимодействия заинтересованных лиц и государственных органов в рамках национальных механизмов "единого окна" (B2G) </w:t>
            </w:r>
          </w:p>
          <w:bookmarkEnd w:id="3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4.1.1. Разработка методических рекомендаций по формированию требований к интерфейсам взаимодействия при предоставлении услуг государственными органами или уполномоченными организациями для процедур B2G, установленных перечнем </w:t>
            </w:r>
          </w:p>
          <w:bookmarkEnd w:id="3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актов органов Союза</w:t>
            </w:r>
          </w:p>
        </w:tc>
      </w:tr>
      <w:tr>
        <w:trPr>
          <w:trHeight w:val="30" w:hRule="atLeast"/>
        </w:trPr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 Унификация процедуры получения перевозчиками допуска к осуществлению международных перевозок грузов автомобильным транспортом (B2G)</w:t>
            </w:r>
          </w:p>
          <w:bookmarkEnd w:id="3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заключения</w:t>
            </w:r>
          </w:p>
        </w:tc>
      </w:tr>
      <w:tr>
        <w:trPr>
          <w:trHeight w:val="30" w:hRule="atLeast"/>
        </w:trPr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4.2. Оптимизация процедур межведомственного информационного взаимодействия в рамках национальных механизмов "единого окна" (G2G) </w:t>
            </w:r>
          </w:p>
          <w:bookmarkEnd w:id="3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 Формирование предложений по внесению изменений в технологические документы, регламентирующие общие процессы в рамках Союза, с учетом необходимости реализации отдельных мероприятий, направленных на создание национального механизма "единого окна"</w:t>
            </w:r>
          </w:p>
          <w:bookmarkEnd w:id="3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актов органов Союза</w:t>
            </w:r>
          </w:p>
        </w:tc>
      </w:tr>
      <w:tr>
        <w:trPr>
          <w:trHeight w:val="30" w:hRule="atLeast"/>
        </w:trPr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 Оптимизация и реализация общих процессов в рамках Союза, задействованных в обеспечении функционирования национальных механизмов "единого окна"</w:t>
            </w:r>
          </w:p>
          <w:bookmarkEnd w:id="3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 Подготовка предложений по актуализации перечня общих процессов в рамках Союза, задействованных в обеспечении функционирования национальных механизмов "единого окна"</w:t>
            </w:r>
          </w:p>
          <w:bookmarkEnd w:id="3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акта органа Союза</w:t>
            </w:r>
          </w:p>
        </w:tc>
      </w:tr>
      <w:tr>
        <w:trPr>
          <w:trHeight w:val="30" w:hRule="atLeast"/>
        </w:trPr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4.3.2. Регламентация общих процессов в рамках Союза, задействованных в обеспечении функционирования национальных механизмов "единого окна"</w:t>
            </w:r>
          </w:p>
          <w:bookmarkEnd w:id="4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акта органа Союза</w:t>
            </w:r>
          </w:p>
        </w:tc>
      </w:tr>
      <w:tr>
        <w:trPr>
          <w:trHeight w:val="30" w:hRule="atLeast"/>
        </w:trPr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4.3.3. Реализация общих процессов в рамках Союза, задействованных в обеспечении функционирования национальных механизмов "единого окна" в интеграционном сегменте Комиссии интегрированной информационной системы Союза</w:t>
            </w:r>
          </w:p>
          <w:bookmarkEnd w:id="4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и техническая документация</w:t>
            </w:r>
          </w:p>
        </w:tc>
      </w:tr>
      <w:tr>
        <w:trPr>
          <w:trHeight w:val="30" w:hRule="atLeast"/>
        </w:trPr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4.3.4. Реализация общих процессов в рамках Союза, задействованных в обеспечении функционирования национальных механизмов "единого окна" в национальных сегментах государств-членов интегрированной информационной системы Союза</w:t>
            </w:r>
          </w:p>
          <w:bookmarkEnd w:id="4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и техническая документация</w:t>
            </w:r>
          </w:p>
        </w:tc>
      </w:tr>
      <w:tr>
        <w:trPr>
          <w:trHeight w:val="30" w:hRule="atLeast"/>
        </w:trPr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4.4. Упрощение процедур использования заинтересованными лицами национальных механизмов "единого окна" </w:t>
            </w:r>
          </w:p>
          <w:bookmarkEnd w:id="4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4.4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4.4.1. Исследование процессов и процедур взаимодействия между хозяйствующими субъектами (B2B) во внешнеэкономической деятельности</w:t>
            </w:r>
          </w:p>
          <w:bookmarkEnd w:id="4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4.4.2. Формирование каталога унифицированных процедур B2G в электронном виде с целью обеспечения равных условий для заинтересованных лиц при получении и использовании информации об унифицированных процедурах B2G</w:t>
            </w:r>
          </w:p>
          <w:bookmarkEnd w:id="4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акта органа Союза</w:t>
            </w:r>
          </w:p>
        </w:tc>
      </w:tr>
      <w:tr>
        <w:trPr>
          <w:trHeight w:val="30" w:hRule="atLeast"/>
        </w:trPr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4.5. Формирование и развитие единой системы нормативно-справочной информации Союза, необходимой для обеспечения функционирования национальных механизмов "единого окна" </w:t>
            </w:r>
          </w:p>
          <w:bookmarkEnd w:id="4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4.5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4.5.1. Формирование справочников и классификаторов для включения в состав единой системы нормативно-справочной информации Союза</w:t>
            </w:r>
          </w:p>
          <w:bookmarkEnd w:id="4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актов органов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Формирование понятийного аппарата</w:t>
            </w:r>
          </w:p>
          <w:bookmarkEnd w:id="48"/>
        </w:tc>
      </w:tr>
      <w:tr>
        <w:trPr>
          <w:trHeight w:val="30" w:hRule="atLeast"/>
        </w:trPr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5.1. Ведение (актуализация) глоссария терминов, используемых при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направлений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механизма "единого окна" в системе регулирования внешнеэкономической деятельности, одобренных Решением Высшего Евразийского экономического совета от 29 мая 2014 г. № 68 (далее – Основные направления)</w:t>
            </w:r>
          </w:p>
          <w:bookmarkEnd w:id="4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5.2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глоссарий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Организационный механизм, обеспечивающий реализацию плана мероприятий (механизм управления)</w:t>
            </w:r>
          </w:p>
          <w:bookmarkEnd w:id="50"/>
        </w:tc>
      </w:tr>
      <w:tr>
        <w:trPr>
          <w:trHeight w:val="30" w:hRule="atLeast"/>
        </w:trPr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 Совершенствование организационной структуры механизма управления</w:t>
            </w:r>
          </w:p>
          <w:bookmarkEnd w:id="5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6.5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6.1.1. Актуализация состава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группы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выполнению плана мероприятий, утвержденного распоряжением Коллегии Евразийской экономической комиссии от 21 марта 2017 г. № 26 (далее – рабочая группа)</w:t>
            </w:r>
          </w:p>
          <w:bookmarkEnd w:id="5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актов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Организационные вопросы</w:t>
            </w:r>
          </w:p>
          <w:bookmarkEnd w:id="53"/>
        </w:tc>
      </w:tr>
      <w:tr>
        <w:trPr>
          <w:trHeight w:val="30" w:hRule="atLeast"/>
        </w:trPr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 Популяризация механизма "единого окна": работа со СМИ, организация открытых дискуссий, семинаров, конференций и круглых столов по вопросам реализации Основных направлений и плана мероприятий</w:t>
            </w:r>
          </w:p>
          <w:bookmarkEnd w:id="5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7.1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7.1.1. Проведение круглых столов, рабочих групп, совещаний или иных мероприятий с целью практической демонстрации реализуемых национальных проектов механизма "единого окна"</w:t>
            </w:r>
          </w:p>
          <w:bookmarkEnd w:id="5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7.1.2. Проведение круглого стола по обсуждению инструментов оптимизации бизнес-процессов</w:t>
            </w:r>
          </w:p>
          <w:bookmarkEnd w:id="5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 Подготовка и публикация отчетов о проделанной работе по реализации Основных направлений и плана мероприятий</w:t>
            </w:r>
          </w:p>
          <w:bookmarkEnd w:id="5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7.2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7.2.1. Подготовка и публикация отчета об исполнении плана мероприятий в 2015 – 2017 годах</w:t>
            </w:r>
          </w:p>
          <w:bookmarkEnd w:id="5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отчета на официальном сайте Союза</w:t>
            </w:r>
          </w:p>
        </w:tc>
      </w:tr>
      <w:tr>
        <w:trPr>
          <w:trHeight w:val="30" w:hRule="atLeast"/>
        </w:trPr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7.2.2. Развитие тематического информационного ресурса по вопросам реализации Основных направлений на портале Союза</w:t>
            </w:r>
          </w:p>
          <w:bookmarkEnd w:id="5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тематический информационный ресурс по вопросам реализации Основных направлений</w:t>
            </w:r>
          </w:p>
        </w:tc>
      </w:tr>
      <w:tr>
        <w:trPr>
          <w:trHeight w:val="30" w:hRule="atLeast"/>
        </w:trPr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 Организация заседаний рабочей группы</w:t>
            </w:r>
          </w:p>
          <w:bookmarkEnd w:id="6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7.3.1. Заседания рабочей группы в составе координационного совета</w:t>
            </w:r>
          </w:p>
          <w:bookmarkEnd w:id="6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</w:t>
            </w:r>
          </w:p>
        </w:tc>
      </w:tr>
      <w:tr>
        <w:trPr>
          <w:trHeight w:val="30" w:hRule="atLeast"/>
        </w:trPr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7.3.2. Заседания рабочей группы в составе отдельных тематических блоков</w:t>
            </w:r>
          </w:p>
          <w:bookmarkEnd w:id="6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</w:t>
            </w:r>
          </w:p>
        </w:tc>
      </w:tr>
      <w:tr>
        <w:trPr>
          <w:trHeight w:val="30" w:hRule="atLeast"/>
        </w:trPr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 Подготовка плана работы рабочей группы по выполнению плана мероприятий</w:t>
            </w:r>
          </w:p>
          <w:bookmarkEnd w:id="6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работы рабочей группы</w:t>
            </w:r>
          </w:p>
        </w:tc>
      </w:tr>
      <w:tr>
        <w:trPr>
          <w:trHeight w:val="30" w:hRule="atLeast"/>
        </w:trPr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7.5. Подготовка проекта детализированного плана на 2019 год по выполнению плана мероприятий </w:t>
            </w:r>
          </w:p>
          <w:bookmarkEnd w:id="6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акта органа Союза</w:t>
            </w:r>
          </w:p>
        </w:tc>
      </w:tr>
    </w:tbl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* Указывается пункт перечня мероприятий (раздел XII) плана мероприятий по реализации Основных направлений развития механизма "единого окна" в системе регулирования внешнеэкономической деятельности, утвержденного Решением Высшего Евразийского экономического совета от 8 мая 2015 г. № 19. 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