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a5df" w14:textId="7cba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26 января 2018 года № 13.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Муканбетов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Единого таможенного тарифа Евразийского экономического союза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(в процентах от таможенной стоимости либо в евро, либо в долларах США)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5904 10 000 0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линолеум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плюс 0,08 евро за 1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8418 29 000 0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8418 40 200 1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8418 40 800 1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морозильники бытовые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8704 10 102 2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с количеством осей не более двух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8707 10 900 0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полуприцепы автомобильные, с полной массой более 15 т и габаритной длиной не менее 13,6 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– – – – – полуприцепы автомобильные рефрижераторные с внутренним объемом кузова не менее 76 м³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