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1edd" w14:textId="36a1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рабочих групп для подготовки предложений по вопросам развития транспорта и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апреля 2018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("дорожной карты") по реализации Основных направлений и этапов реализации скоординированной (согласованной) транспортной политики на 2018 – 2020 годы, утвержденного Решением Евразийского межправительственного совета от 25 октября 2017 г. № 3: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группу по выработке предложений по развитию кадрового потенциала в сфере транспорта и инфраструктуры;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группу по выработке предложений по развитию науки и инноваций в сфере транспорта и инфраструктуры.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руководителем указанных в пункте 1 настоящего распоряжения рабочих групп члена Коллегии (Министра) по энергетике и инфраструктуре Евразийской экономической комиссии Кайкиева Э.А.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рабочих групп: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регламенты работы рабочих групп;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составы рабочих групп, сформированные на основании предложений государств – членов Евразийского экономического союза.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