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3f356" w14:textId="c83f3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продлении срока действия ставок ввозных таможенных пошлин Единого таможенного тарифа Евразийского экономического союза в отношении отдельных видов комплектующих для производства велосипедов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Коллегии Евразийской экономической комиссии от 25 декабря 2018 года № 220. Утратило силу решением Коллегии Евразийской экономической комиссии от 17 августа 2021 года № 100.</w:t>
      </w:r>
    </w:p>
    <w:p>
      <w:pPr>
        <w:spacing w:after="0"/>
        <w:ind w:left="0"/>
        <w:jc w:val="both"/>
      </w:pPr>
      <w:r>
        <w:rPr>
          <w:rFonts w:ascii="Times New Roman"/>
          <w:b w:val="false"/>
          <w:i w:val="false"/>
          <w:color w:val="ff0000"/>
          <w:sz w:val="28"/>
        </w:rPr>
        <w:t xml:space="preserve">
      Сноска. Решение утратило силу Решением Коллегии Евразийской экономической комиссии от 17.08.2021 </w:t>
      </w:r>
      <w:r>
        <w:rPr>
          <w:rFonts w:ascii="Times New Roman"/>
          <w:b w:val="false"/>
          <w:i w:val="false"/>
          <w:color w:val="ff0000"/>
          <w:sz w:val="28"/>
        </w:rPr>
        <w:t>№ 100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42</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Договора о Евразийском экономическом союзе от 29 мая 2014 года, </w:t>
      </w:r>
      <w:r>
        <w:rPr>
          <w:rFonts w:ascii="Times New Roman"/>
          <w:b w:val="false"/>
          <w:i w:val="false"/>
          <w:color w:val="000000"/>
          <w:sz w:val="28"/>
        </w:rPr>
        <w:t>пунктом 18</w:t>
      </w:r>
      <w:r>
        <w:rPr>
          <w:rFonts w:ascii="Times New Roman"/>
          <w:b w:val="false"/>
          <w:i w:val="false"/>
          <w:color w:val="000000"/>
          <w:sz w:val="28"/>
        </w:rPr>
        <w:t xml:space="preserve"> Положения о Евразийской экономической комиссии (приложение № 1 к Договору о Евразийском экономическом союзе от 29 мая 2014 года)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Продлить срок действия ставок ввозных таможенных пошлин Единого таможенного тарифа Евразийского экономического союза (</w:t>
      </w:r>
      <w:r>
        <w:rPr>
          <w:rFonts w:ascii="Times New Roman"/>
          <w:b w:val="false"/>
          <w:i w:val="false"/>
          <w:color w:val="000000"/>
          <w:sz w:val="28"/>
        </w:rPr>
        <w:t>приложение</w:t>
      </w:r>
      <w:r>
        <w:rPr>
          <w:rFonts w:ascii="Times New Roman"/>
          <w:b w:val="false"/>
          <w:i w:val="false"/>
          <w:color w:val="000000"/>
          <w:sz w:val="28"/>
        </w:rPr>
        <w:t xml:space="preserve"> к Решению Совета Евразийской экономической комиссии от 16 июля 2012 г. № 54), установленных Решением Коллегии Евразийской экономической комиссии от 18 августа 2017 г. № 98, в отношении отдельных видов комплектующих для производства велосипедов, классифицируемых кодами 4011 50 000 1, 4013 20 000 1, 7315 11 100 1, 8714 93 000 1, 8714 94 200 1, 8714 96 100 1, 8714 96 300 1, 8714 99 500 1 и 8714 99 900 1 ТН ВЭД ЕАЭС, в размере 0 процентов от таможенной стоимости по 31 августа 2020 г. включительно. </w:t>
      </w:r>
    </w:p>
    <w:bookmarkEnd w:id="1"/>
    <w:bookmarkStart w:name="z3" w:id="2"/>
    <w:p>
      <w:pPr>
        <w:spacing w:after="0"/>
        <w:ind w:left="0"/>
        <w:jc w:val="both"/>
      </w:pPr>
      <w:r>
        <w:rPr>
          <w:rFonts w:ascii="Times New Roman"/>
          <w:b w:val="false"/>
          <w:i w:val="false"/>
          <w:color w:val="000000"/>
          <w:sz w:val="28"/>
        </w:rPr>
        <w:t xml:space="preserve">
      2. Внести в Единый таможенный тариф Евразийского экономического союза (приложение к Решению Совета Евразийской экономической комиссии от 16 июля 2012 г. № 54) следующие изменения: </w:t>
      </w:r>
    </w:p>
    <w:bookmarkEnd w:id="2"/>
    <w:bookmarkStart w:name="z4" w:id="3"/>
    <w:p>
      <w:pPr>
        <w:spacing w:after="0"/>
        <w:ind w:left="0"/>
        <w:jc w:val="both"/>
      </w:pPr>
      <w:r>
        <w:rPr>
          <w:rFonts w:ascii="Times New Roman"/>
          <w:b w:val="false"/>
          <w:i w:val="false"/>
          <w:color w:val="000000"/>
          <w:sz w:val="28"/>
        </w:rPr>
        <w:t>
      а) позиции с кодами 4011 50 000 1, 4013 20 000 1, 7315 11 100 1, 8714 93 000 1, 8714 94 200 1, 8714 96 100 1, 8714 96 300 1, 8714 99 500 1 и 8714 99 900 1 ТН ВЭД ЕАЭС в графе четвертой дополнить ссылкой на примечание "</w:t>
      </w:r>
      <w:r>
        <w:rPr>
          <w:rFonts w:ascii="Times New Roman"/>
          <w:b w:val="false"/>
          <w:i w:val="false"/>
          <w:color w:val="000000"/>
          <w:vertAlign w:val="superscript"/>
        </w:rPr>
        <w:t>50</w:t>
      </w:r>
      <w:r>
        <w:rPr>
          <w:rFonts w:ascii="Times New Roman"/>
          <w:b w:val="false"/>
          <w:i w:val="false"/>
          <w:color w:val="000000"/>
          <w:vertAlign w:val="superscript"/>
        </w:rPr>
        <w:t>С)</w:t>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б) </w:t>
      </w:r>
      <w:r>
        <w:rPr>
          <w:rFonts w:ascii="Times New Roman"/>
          <w:b w:val="false"/>
          <w:i w:val="false"/>
          <w:color w:val="000000"/>
          <w:sz w:val="28"/>
        </w:rPr>
        <w:t>примечания</w:t>
      </w:r>
      <w:r>
        <w:rPr>
          <w:rFonts w:ascii="Times New Roman"/>
          <w:b w:val="false"/>
          <w:i w:val="false"/>
          <w:color w:val="000000"/>
          <w:sz w:val="28"/>
        </w:rPr>
        <w:t xml:space="preserve"> к Единому таможенному тарифу Евразийского экономического союза дополнить примечанием 50С следующего содержания:  </w:t>
      </w:r>
    </w:p>
    <w:bookmarkEnd w:id="4"/>
    <w:bookmarkStart w:name="z6" w:id="5"/>
    <w:p>
      <w:pPr>
        <w:spacing w:after="0"/>
        <w:ind w:left="0"/>
        <w:jc w:val="both"/>
      </w:pPr>
      <w:r>
        <w:rPr>
          <w:rFonts w:ascii="Times New Roman"/>
          <w:b w:val="false"/>
          <w:i w:val="false"/>
          <w:color w:val="000000"/>
          <w:sz w:val="28"/>
        </w:rPr>
        <w:t>
      "</w:t>
      </w:r>
      <w:r>
        <w:rPr>
          <w:rFonts w:ascii="Times New Roman"/>
          <w:b w:val="false"/>
          <w:i w:val="false"/>
          <w:color w:val="000000"/>
          <w:vertAlign w:val="superscript"/>
        </w:rPr>
        <w:t>50</w:t>
      </w:r>
      <w:r>
        <w:rPr>
          <w:rFonts w:ascii="Times New Roman"/>
          <w:b w:val="false"/>
          <w:i w:val="false"/>
          <w:color w:val="000000"/>
          <w:vertAlign w:val="superscript"/>
        </w:rPr>
        <w:t>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01.09.2018 по 31.08.2020 включительно.".  </w:t>
      </w:r>
    </w:p>
    <w:bookmarkEnd w:id="5"/>
    <w:bookmarkStart w:name="z7" w:id="6"/>
    <w:p>
      <w:pPr>
        <w:spacing w:after="0"/>
        <w:ind w:left="0"/>
        <w:jc w:val="both"/>
      </w:pPr>
      <w:r>
        <w:rPr>
          <w:rFonts w:ascii="Times New Roman"/>
          <w:b w:val="false"/>
          <w:i w:val="false"/>
          <w:color w:val="000000"/>
          <w:sz w:val="28"/>
        </w:rPr>
        <w:t xml:space="preserve">
      3. Настоящее Решение вступает в силу по истечении 30 календарных дней с даты его официального опубликования и распространяется на правоотношения, возникшие с 1 сентября 2018 г.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