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1bd" w14:textId="1ee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2018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Единые ветеринарные (ветеринарно-санитарные)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изменение согласно приложению.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2018 г. № 205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Единые ветеринарные (ветеринарно-санитарные) требования, предъявляемые к товарам, подлежащим ветеринарному контролю (надзору)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46 следующего содержания:  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46  </w:t>
      </w:r>
      <w:r>
        <w:br/>
      </w:r>
      <w:r>
        <w:rPr>
          <w:rFonts w:ascii="Times New Roman"/>
          <w:b/>
          <w:i w:val="false"/>
          <w:color w:val="000000"/>
        </w:rPr>
        <w:t xml:space="preserve">ВЕТЕРИНАРНЫЕ ТРЕБОВАНИЯ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ввозе на таможенную территорию Евразийского экономического союза и (или) перемещении между государствами-членами спермы кроликов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ввозу на таможенную территорию Евразийского экономического союза и (или) перемещению между государствами-членами допускается сперма кроликов, полученная от здоровых животных, не вакцинированных против геморрагической болезни кроликов в течение последних 12 месяцев, в помещениях, где есть условия для отбора спермы, ее исследования, обработки, консервации и хранения.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Кролики – доноры спермы (далее – кролики-доноры) происходят из мест содержания, свободных от следующих заразных болезней животных: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геморрагическая болезнь кроликов – в течение последних 12 месяцев, что подтверждается результатами серологического исследования;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миксоматоз – в течение последних 6 месяцев.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Кролики-доноры происходят из мест содержания, в отношении которых ветеринарной службой страны-экспортера не установлены ветеринарно-санитарные ограничения.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Кролики-доноры в течение 30 дней перед отбором спермы должны быть исследованы в аккредитованной лаборатории с отрицательными результатами (в ветеринарном сертификате должны быть указаны название лаборатории, дата и метод исследования) на геморрагическую болезнь кроликов.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Кролики-доноры не менее 30 дней до отбора спермы не должны использоваться для естественного осеменения и должны находиться в условиях, исключающих такую возможность.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здоровья кролики-доноры перед отбором спермы должны быть подвергнуты клиническому осмотру с обязательной термометрией.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сперме кроликов-доноров не должно содержаться патогенных и токсикогенных микроорганизмов.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Сперма должна отбираться, храниться и транспортироваться в соответствии с рекомендациями Кодекса МЭБ.". 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