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4246" w14:textId="8b14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иных случаях использования декларации на товары в качестве документа об условиях переработки товаров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2018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164 Таможенного кодекса Евразийского экономического союза (далее – Кодекс)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декларация на товары (далее – ДТ) помимо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164 Кодекса, используется в качестве документа об условиях переработки товаров на таможенной территории Евразийского экономического союза (далее – Союз) в следующих случаях: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операции по переработке на таможенной территории Союза будут совершаться непосредственно декларантом иностранных товаров, помещаемых под таможенную процедуру переработки на таможенной территории и указанных в ДТ, при соблюдении следующих условий: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ДТ указаны сведения обо всех иностранных товарах, которые будут использоваться для получения продуктов их переработки;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общей таможенной стоимости товаров, указанной в ДТ, не превышает сумму, эквивалентную 10 000 евро, если иная величина общей таможенной стоимости не определена законодательством государства – члена Союза (далее – государство-член), таможенному органу которого подана ДТ;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способа идентификации иностранных товаров в продуктах их переработки используется один из способов идентификации, установленных абзацами вторым – пятым статьи 167 Кодекса;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ДТ указаны сведения о заключении уполномоченного органа (организации) либо независимой экспертной организации государства-члена о нормах выхода продуктов переработки в количественном и (или) процентном выражении, если выдача такого заключения предусмотрена законодательством государства-члена, таможенному органу которого подана ДТ;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уполномоченным органом государства-члена, на территории которого иностранные товары, сведения о которых указаны в ДТ, помещаются под таможенную процедуру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таможенной территории, установлены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Кодекса стандартные нормы выхода продуктов их переработки, при соблюдении следующих условий: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ДТ указаны сведения о документе, устанавливающем такие стандартные нормы;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способа идентификации иностранных товаров в продуктах их переработки используется один из способов идентификации, установленных абзацами вторым – пятым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Положения пункта 1 настоящего Решения не применяются для товаров,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разделы 2.9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