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2542" w14:textId="e972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изделий, пропитанных инсектицидными и акарицидными веществами,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Браслет, изготовленный из полимерного материала, пропитанного инсектицидным веществом, применяемый для отпугивания кровососущих насекомых, расфасованный в упаковку для розничной продажи, в соответствии с Основным правилом интерпретации Товарной номенклатуры внешнеэкономической деятельности 1 классифицируется в товарной позиции 3808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Ошейник, изготовленный из полимерного материала, пропитанного инсектицидными и акарицидными веществами, применяемый для уничтожения и отпугивания эктопаразитов животных (блох, клещей и др.), расфасованный в упаковку для розничной продажи, в соответствии с Основным правилом интерпретации Товарной номенклатуры внешнеэкономической деятельности 1 классифицируется в товарной позиции 3808 единой Товарной номенклатуры внешнеэкономической деятельности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