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cc0d" w14:textId="3d8c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единиц измерения дозировки и концентрации действующих веществ в составе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сентября 2018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классификатор единиц измерения дозировки и концентрации действующих веществ в составе лекарственных препаратов (далее – классификатор).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классификатор применяется с даты вступления настоящего Решения в силу;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использование кодовых обозначений классификатора является обязательным при реализации общих процессов в сфере обращения лекарственных средств.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2018 г. № 150. 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</w:t>
      </w:r>
      <w:r>
        <w:br/>
      </w:r>
      <w:r>
        <w:rPr>
          <w:rFonts w:ascii="Times New Roman"/>
          <w:b/>
          <w:i w:val="false"/>
          <w:color w:val="000000"/>
        </w:rPr>
        <w:t xml:space="preserve">единиц измерения дозировки и концентрации действующих веществ в составе лекарственных препаратов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классификатора единиц измерения дозировки и концентрации действующих веществ в составе лекарственных препаратов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3499"/>
        <w:gridCol w:w="2058"/>
        <w:gridCol w:w="4056"/>
        <w:gridCol w:w="989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 измерения дозировки и концентрации</w:t>
            </w:r>
          </w:p>
          <w:bookmarkEnd w:id="9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единиц измерения дозировки и концентрации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 измерения дозировки и концентрации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Унифицированный код единицы измерения (UCUM)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произволь-ной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включенные в Межгосударственный классификатор единиц измерения и счета (МК 002-97)</w:t>
            </w:r>
          </w:p>
          <w:bookmarkEnd w:id="10"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bookmarkEnd w:id="11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единица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bookmarkEnd w:id="12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кв.см.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4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5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6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8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19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0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кДж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килоджоуль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kJ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21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гигабеккерель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GBq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22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килобеккерель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kBq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23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мегабеккерель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MBq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24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25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Bq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  <w:bookmarkEnd w:id="26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Внесистемные физические единицы измерения</w:t>
            </w:r>
          </w:p>
          <w:bookmarkEnd w:id="27"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</w:t>
            </w:r>
          </w:p>
          <w:bookmarkEnd w:id="28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нанограмм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</w:t>
            </w:r>
          </w:p>
          <w:bookmarkEnd w:id="29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микролитр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</w:t>
            </w:r>
          </w:p>
          <w:bookmarkEnd w:id="30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нанолитр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</w:t>
            </w:r>
          </w:p>
          <w:bookmarkEnd w:id="31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резерфорд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</w:t>
            </w:r>
          </w:p>
          <w:bookmarkEnd w:id="32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</w:t>
            </w:r>
          </w:p>
          <w:bookmarkEnd w:id="33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</w:t>
            </w:r>
          </w:p>
          <w:bookmarkEnd w:id="34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килокалория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kcal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</w:t>
            </w:r>
          </w:p>
          <w:bookmarkEnd w:id="35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миллимоль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mmol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O09</w:t>
            </w:r>
          </w:p>
          <w:bookmarkEnd w:id="36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мкмоль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umol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</w:t>
            </w:r>
          </w:p>
          <w:bookmarkEnd w:id="37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нмоль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наномоль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nmol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O11</w:t>
            </w:r>
          </w:p>
          <w:bookmarkEnd w:id="38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</w:t>
            </w:r>
          </w:p>
          <w:bookmarkEnd w:id="39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миллиосмоль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mosm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  <w:bookmarkEnd w:id="40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</w:t>
            </w:r>
          </w:p>
          <w:bookmarkEnd w:id="41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m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массовый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</w:t>
            </w:r>
          </w:p>
          <w:bookmarkEnd w:id="42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vol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объемный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%{vol}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O16</w:t>
            </w:r>
          </w:p>
          <w:bookmarkEnd w:id="43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[drp]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O17</w:t>
            </w:r>
          </w:p>
          <w:bookmarkEnd w:id="44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O18</w:t>
            </w:r>
          </w:p>
          <w:bookmarkEnd w:id="45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O19</w:t>
            </w:r>
          </w:p>
          <w:bookmarkEnd w:id="46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{Cells}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</w:t>
            </w:r>
          </w:p>
          <w:bookmarkEnd w:id="47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клеток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клеток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</w:t>
            </w:r>
          </w:p>
          <w:bookmarkEnd w:id="48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клеток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клеток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</w:t>
            </w:r>
          </w:p>
          <w:bookmarkEnd w:id="49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</w:t>
            </w:r>
          </w:p>
          <w:bookmarkEnd w:id="50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спор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спор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</w:t>
            </w:r>
          </w:p>
          <w:bookmarkEnd w:id="51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миллилитр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g/mL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O25</w:t>
            </w:r>
          </w:p>
          <w:bookmarkEnd w:id="52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миллилитр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mg/mL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</w:t>
            </w:r>
          </w:p>
          <w:bookmarkEnd w:id="53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мкг/мл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 на миллилитр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ug/mL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O27</w:t>
            </w:r>
          </w:p>
          <w:bookmarkEnd w:id="54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мкг/мкл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 на микролитр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ug/uL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</w:t>
            </w:r>
          </w:p>
          <w:bookmarkEnd w:id="55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грамм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mg/g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</w:t>
            </w:r>
          </w:p>
          <w:bookmarkEnd w:id="56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 на грамм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ug/g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</w:t>
            </w:r>
          </w:p>
          <w:bookmarkEnd w:id="57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мкг/мг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 на миллиграмм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ug/mg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</w:t>
            </w:r>
          </w:p>
          <w:bookmarkEnd w:id="58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ммоль/л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миллимоль на литр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mmol/L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Произвольные единицы измерения</w:t>
            </w:r>
          </w:p>
          <w:bookmarkEnd w:id="59"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</w:t>
            </w:r>
          </w:p>
          <w:bookmarkEnd w:id="60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излучения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среднеэффективных иммунизирующих доз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</w:t>
            </w:r>
          </w:p>
          <w:bookmarkEnd w:id="61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мутности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мутности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</w:t>
            </w:r>
          </w:p>
          <w:bookmarkEnd w:id="62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единица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[IU]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</w:t>
            </w:r>
          </w:p>
          <w:bookmarkEnd w:id="63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PFU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оспообразующая единица (бляшкообразующее число)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[PFU]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</w:t>
            </w:r>
          </w:p>
          <w:bookmarkEnd w:id="64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Lf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флокулирующая единица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[Lf]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  <w:bookmarkEnd w:id="65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Ph.Eur.U.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действия Европейской фармакопеи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</w:t>
            </w:r>
          </w:p>
          <w:bookmarkEnd w:id="66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действия биологической активности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А08</w:t>
            </w:r>
          </w:p>
          <w:bookmarkEnd w:id="67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PNU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белкового азота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[PNU]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А09</w:t>
            </w:r>
          </w:p>
          <w:bookmarkEnd w:id="68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колониеобразующая единица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[CFU]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</w:t>
            </w:r>
          </w:p>
          <w:bookmarkEnd w:id="69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единица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[arb'U]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А11</w:t>
            </w:r>
          </w:p>
          <w:bookmarkEnd w:id="70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калликреин инактивирующая единица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А12</w:t>
            </w:r>
          </w:p>
          <w:bookmarkEnd w:id="71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липопротеина-липазы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А13</w:t>
            </w:r>
          </w:p>
          <w:bookmarkEnd w:id="72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антигенная единица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А14</w:t>
            </w:r>
          </w:p>
          <w:bookmarkEnd w:id="73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титрационная единица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</w:t>
            </w:r>
          </w:p>
          <w:bookmarkEnd w:id="74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единица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[iU]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</w:t>
            </w:r>
          </w:p>
          <w:bookmarkEnd w:id="75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антитрипсиновая единица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А17</w:t>
            </w:r>
          </w:p>
          <w:bookmarkEnd w:id="76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туберкулиновая единица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[tb'U]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А18</w:t>
            </w:r>
          </w:p>
          <w:bookmarkEnd w:id="77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ед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иммуноферментного анализа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А19</w:t>
            </w:r>
          </w:p>
          <w:bookmarkEnd w:id="78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анти-Xa МЕ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единица антитромботического действия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[anti'Xa'U]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</w:t>
            </w:r>
          </w:p>
          <w:bookmarkEnd w:id="79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ТЦД 50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50-процентная тканевая цитопатическая доза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</w:t>
            </w:r>
          </w:p>
          <w:bookmarkEnd w:id="80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 50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полулетальной дозы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</w:t>
            </w:r>
          </w:p>
          <w:bookmarkEnd w:id="81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ELU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действия биологической активности Элайза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[ELU]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А23</w:t>
            </w:r>
          </w:p>
          <w:bookmarkEnd w:id="82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 50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полуинфицирующей дозы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[TCID_50]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А24</w:t>
            </w:r>
          </w:p>
          <w:bookmarkEnd w:id="83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ЭИД 50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дозы полупатологоанатомических изменений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А25</w:t>
            </w:r>
          </w:p>
          <w:bookmarkEnd w:id="84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ЦПД 50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дозы полуцитопатического эффекта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А26</w:t>
            </w:r>
          </w:p>
          <w:bookmarkEnd w:id="85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МИДэ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инфицирующая доза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А27</w:t>
            </w:r>
          </w:p>
          <w:bookmarkEnd w:id="86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связывания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А28</w:t>
            </w:r>
          </w:p>
          <w:bookmarkEnd w:id="87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реактивности (биологическая единица стандартизации)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[IR]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А29</w:t>
            </w:r>
          </w:p>
          <w:bookmarkEnd w:id="88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антигена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антигена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А30</w:t>
            </w:r>
          </w:p>
          <w:bookmarkEnd w:id="89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Аллерган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Аллерган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</w:t>
            </w:r>
          </w:p>
          <w:bookmarkEnd w:id="90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лягушачья единица действия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А32</w:t>
            </w:r>
          </w:p>
          <w:bookmarkEnd w:id="91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ЕД/мл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действия биологической активности на миллилитр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А33</w:t>
            </w:r>
          </w:p>
          <w:bookmarkEnd w:id="92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РNU/мл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белкового азота на миллилитр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[PNU]/mL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А34</w:t>
            </w:r>
          </w:p>
          <w:bookmarkEnd w:id="93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ИР/мл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реактивности (биологическая единица стандартизации) на миллилитр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[IR]/mL 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А35</w:t>
            </w:r>
          </w:p>
          <w:bookmarkEnd w:id="94"/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D-антигена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D-антигена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[D'ag'U]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классификатора 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818"/>
        <w:gridCol w:w="9753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единиц измерения дозировки и концентрации действующих веществ в составе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КЕИДК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044-2018 (ред. 1)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7 сентября 2018 г. № 150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 от 7 сентября 2018 г. № 150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6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 Министерство здравоохранения Российской Федерации. Уполномоченная организация: ФГБУ "Научный центр экспертизы средств медицинского применения" Минздрава России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8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представления сведений о единицах измерения дозировки и концентрации действующих веществ в составе лекарственных средств при описании качественного и количественного состава лекарственных средств в регистрационном досье лекарственных средств, регистрационном удостоверении лекарственных препаратов, а также в маркировке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при регулировании обращения лекарственных средств на едином рынке Евразийского экономического союза, в том числе для обеспечения информационного взаимодействия при реализации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дозировка, концентрация, лекарственный препарат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1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2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гармонизирован с международными (межгосударственными, региональными) классификаторами и (или) стандартами: Межгосударственный классификатор единиц измерения и счета (МК 002-97).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гармонизации: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использование части доверенного источника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3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4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классификации (систематизации)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комбинированный метод, применяемый в соответствии с Методикой классификации и кодирования информации в классификаторе единиц измерения дозировки и концентрации действующих веществ в составе лекарственных препаратов согласно приложению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5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ведения. Добавление, изменение или исключение значений классификатора выполняется оператором в соответствии с актом Евразийской экономической комиссии. В случае исключения значения запись классификатора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классификатора. Коды единиц измерения дозировки и концентрации являются уникальными, повторное использование кодов,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6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классификатора (состав полей классификатора, области их значений и правила формирования) приведена 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7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8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9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0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1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классификатора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устанавливает требования к структуре классификатора, области значений реквизитов и правила их формирования.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"/>
        <w:gridCol w:w="95"/>
        <w:gridCol w:w="46"/>
        <w:gridCol w:w="178"/>
        <w:gridCol w:w="5"/>
        <w:gridCol w:w="2498"/>
        <w:gridCol w:w="6826"/>
        <w:gridCol w:w="1641"/>
        <w:gridCol w:w="9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  <w:bookmarkEnd w:id="138"/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1. Сведения о единице измерения дозировки и концентрации действующих веществ в составе лекарственных препаратов</w:t>
            </w:r>
          </w:p>
          <w:bookmarkEnd w:id="139"/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1.1. Код единицы измерения дозировки и концентрации 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1.2. Краткое обозначение единицы измерения дозировки и концентрации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краткому обозначению единицы измерения дозировки или концентрации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1.3. Наименование единицы измерения дозировки и концентрации 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1.4. Признак произвольной единицы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признак, определяющий, является ли единица измерения произвольной: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единица измерения является произвольной;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единица измерения не является произвольной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Сведения о соответствии единице другой системы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Обозначение системы единиц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краткому обозначению системы единиц измерения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Сведения о единице измерения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*.1.Код единицы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кодовому обозначению единицы измерения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единицы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краткому обозначению единицы измерения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*.3.Обозначение единицы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краткому обозначению единицы измерения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Сведения о преобразовании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Коэффициент преобразования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действительное число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линейного преобразования единиц различных систем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 формулы преобразования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краткому обозначению единицы измерения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1.6. Сведения о записи справочника (классификатора)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1.6.1. Дата начала действия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1.6.3. Дата окончания действия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классификатору единиц измерения дозировки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концентрации действующих веществ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составе лекарственных препаратов </w:t>
            </w:r>
          </w:p>
        </w:tc>
      </w:tr>
    </w:tbl>
    <w:bookmarkStart w:name="z17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br/>
      </w:r>
      <w:r>
        <w:rPr>
          <w:rFonts w:ascii="Times New Roman"/>
          <w:b/>
          <w:i w:val="false"/>
          <w:color w:val="000000"/>
        </w:rPr>
        <w:t xml:space="preserve">классификации и кодирования информации в классификаторе единиц измерения дозировки и концентрации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действующих веществ в составе лекарственных препаратов </w:t>
      </w:r>
    </w:p>
    <w:bookmarkEnd w:id="140"/>
    <w:bookmarkStart w:name="z17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Настоящая Методика разработана в соответствии со следующими актами, входящими в право Евразийского экономического союза: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17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Настоящая Методика разработана в целях детализации описания и определения специфики применения метода классификации и метода кодирования информации, применяемых при разработке и ведении классификатора единиц измерения дозировки и концентрации действующих веществ в составе лекарственных препаратов (далее – классификатор).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Настоящая Методика применяется оператором классификатора при внесении в классификатор сведений о единице измерения, используемой для выражения дозировки, концентрации или активности веществ в составе лекарственного препарата. </w:t>
      </w:r>
    </w:p>
    <w:bookmarkEnd w:id="145"/>
    <w:bookmarkStart w:name="z1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настоящей Методики под произвольной единицей понимается произвольно определенная единица измерения, для которой связь с физической единицей интернациональной системы измерения отсутствует или не установлена.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Методике, применяются в значениях, определенных решениями Евразийской экономической комиссии в сфере обращения лекарственных средств, а также по вопросам, касающимся создания и развития интегрированной информационной системы Евразийского экономического союза.</w:t>
      </w:r>
    </w:p>
    <w:bookmarkEnd w:id="148"/>
    <w:bookmarkStart w:name="z18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Метод классификации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Включенные в классификатор единицы измерения классифицируются по принадлежности к следующим классификационным группам: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единицы измерения, включенные в национальные классификаторы единиц измерения и счета;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внесистемные единицы измерения;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произвольные единицы измерения.</w:t>
      </w:r>
    </w:p>
    <w:bookmarkEnd w:id="153"/>
    <w:bookmarkStart w:name="z18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Метод кодирования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кодирования элементов классификатора, включенных в группу единиц измерения, входящих в национальные классификаторы единиц измерения и счета, используются коды в соответствии с "Межгосударственным классификатором единиц измерения и счета" (МК 002-97).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кодирования элементов классификатора, включенных в группы внесистемных единиц измерения и произвольных единиц измерения, используются буквенно-цифровые 3-значные коды.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кода для групп внесистемных единиц измерения и произвольных единиц измерения – SDD, где S – заглавная буква латинского алфавита, а DD – цифры.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Для произвольных единиц измерения зарезервированы буквенные символы от "A" до "N" включительно, для внесистемных – буквенные символы от "O" до "Z" включительно.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Цифровые разряды кодов формируются порядковым методом по хронологическому принципу, шаг кодирования принимается равным 1, старшие (левые) разряды формируемого кода заполняются нулями (при необходимости).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Допустимая емкость классификатора составляет 3573 позиций. 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