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0e30" w14:textId="5de0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связи с принятием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109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Евразийском экономическом союзе"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пятнадцатого дополнить абзацем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до 1 июля 2020 года – по разделу 1. "Требования безопасности и пищевой ценности пищевых продуктов" в части требований к продукции, являющейся объектом технического регулирования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044/2017), по разделу 9. "Требования к питьевой воде, расфасованной в емкости" и разделу 21. "Требования к минеральным водам" в связи с вступлением в силу указанного технического регламента.";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главу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указанным Решением, признать утратившей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