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0439" w14:textId="7b00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"Пищевая продукция в части ее маркировки" (ТР ТС 022/2011)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течение 18 месяцев с даты вступления в силу изменений в технический регламент Таможенного союза "Пищевая продукция в части ее маркировки" (ТР ТС 022/2011), внесенных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90, допускаются производство и выпуск в обращение на таможенной территории Евразийского экономического союза пищевой продукции, полученной с применением генно-модифицированных организмов, в соответствии с обязательными требованиями в части ее маркировки,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"Пищевая продукция в части ее маркировки" (TP ТС 022/2011), принятым Решением Комиссии Таможенного союза от 9 декабря 2011 г. № 881;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обращение продукции, указанной в подпункте "а" настоящего пункта, допускается в течение срока годности, установленного ее изготовителем.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