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00439" w14:textId="7b004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введения в действие изменений в технический регламент Таможенного союза "Пищевая продукция в части ее маркировки" (ТР ТС 022/2011)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10 мая 2018 года № 72.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Установить, что: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течение 18 месяцев с даты вступления в силу изменений в технический регламент Таможенного союза "Пищевая продукция в части ее маркировки" (ТР ТС 022/2011), внесенных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20 декабря 2017 г. № 90, допускаются производство и выпуск в обращение на таможенной территории Евразийского экономического союза пищевой продукции, полученной с применением генно-модифицированных организмов, в соответствии с обязательными требованиями в части ее маркировки,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техническим 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"Пищевая продукция в части ее маркировки" (TP ТС 022/2011), принятым Решением Комиссии Таможенного союза от 9 декабря 2011 г. № 881;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обращение продукции, указанной в подпункте "а" настоящего пункта, допускается в течение срока годности, установленного ее изготовителем.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