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b70a" w14:textId="265b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типов изменений регистрационного досье лекарственного препарата</w:t>
      </w:r>
    </w:p>
    <w:p>
      <w:pPr>
        <w:spacing w:after="0"/>
        <w:ind w:left="0"/>
        <w:jc w:val="both"/>
      </w:pPr>
      <w:r>
        <w:rPr>
          <w:rFonts w:ascii="Times New Roman"/>
          <w:b w:val="false"/>
          <w:i w:val="false"/>
          <w:color w:val="000000"/>
          <w:sz w:val="28"/>
        </w:rPr>
        <w:t>Решение Коллегии Евразийской экономической комиссии от 24 апреля 2018 года № 65.</w:t>
      </w:r>
    </w:p>
    <w:p>
      <w:pPr>
        <w:spacing w:after="0"/>
        <w:ind w:left="0"/>
        <w:jc w:val="both"/>
      </w:pPr>
      <w:bookmarkStart w:name="z4" w:id="0"/>
      <w:r>
        <w:rPr>
          <w:rFonts w:ascii="Times New Roman"/>
          <w:b w:val="false"/>
          <w:i w:val="false"/>
          <w:color w:val="000000"/>
          <w:sz w:val="28"/>
        </w:rPr>
        <w:t xml:space="preserve">
      В соответствии cо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2017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прилагаемый классификатор типов изменений регистрационного досье лекарственного препарата (далее – классификатор).</w:t>
      </w:r>
    </w:p>
    <w:bookmarkEnd w:id="1"/>
    <w:bookmarkStart w:name="z6" w:id="2"/>
    <w:p>
      <w:pPr>
        <w:spacing w:after="0"/>
        <w:ind w:left="0"/>
        <w:jc w:val="both"/>
      </w:pPr>
      <w:r>
        <w:rPr>
          <w:rFonts w:ascii="Times New Roman"/>
          <w:b w:val="false"/>
          <w:i w:val="false"/>
          <w:color w:val="000000"/>
          <w:sz w:val="28"/>
        </w:rPr>
        <w:t>
      2. Включить классификатор в состав ресурсов единой системы нормативно-справочной информации Евразийского экономического союза.</w:t>
      </w:r>
    </w:p>
    <w:bookmarkEnd w:id="2"/>
    <w:bookmarkStart w:name="z7" w:id="3"/>
    <w:p>
      <w:pPr>
        <w:spacing w:after="0"/>
        <w:ind w:left="0"/>
        <w:jc w:val="both"/>
      </w:pPr>
      <w:r>
        <w:rPr>
          <w:rFonts w:ascii="Times New Roman"/>
          <w:b w:val="false"/>
          <w:i w:val="false"/>
          <w:color w:val="000000"/>
          <w:sz w:val="28"/>
        </w:rPr>
        <w:t xml:space="preserve">
      3. Установить, что: </w:t>
      </w:r>
    </w:p>
    <w:bookmarkEnd w:id="3"/>
    <w:bookmarkStart w:name="z8" w:id="4"/>
    <w:p>
      <w:pPr>
        <w:spacing w:after="0"/>
        <w:ind w:left="0"/>
        <w:jc w:val="both"/>
      </w:pPr>
      <w:r>
        <w:rPr>
          <w:rFonts w:ascii="Times New Roman"/>
          <w:b w:val="false"/>
          <w:i w:val="false"/>
          <w:color w:val="000000"/>
          <w:sz w:val="28"/>
        </w:rPr>
        <w:t xml:space="preserve">
      паспорт классификатора применяется с даты вступления настоящего Решения в силу; </w:t>
      </w:r>
    </w:p>
    <w:bookmarkEnd w:id="4"/>
    <w:bookmarkStart w:name="z9" w:id="5"/>
    <w:p>
      <w:pPr>
        <w:spacing w:after="0"/>
        <w:ind w:left="0"/>
        <w:jc w:val="both"/>
      </w:pPr>
      <w:r>
        <w:rPr>
          <w:rFonts w:ascii="Times New Roman"/>
          <w:b w:val="false"/>
          <w:i w:val="false"/>
          <w:color w:val="000000"/>
          <w:sz w:val="28"/>
        </w:rPr>
        <w:t xml:space="preserve">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 </w:t>
      </w:r>
    </w:p>
    <w:bookmarkEnd w:id="5"/>
    <w:bookmarkStart w:name="z10" w:id="6"/>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апреля 2018 г. № 65 </w:t>
            </w:r>
          </w:p>
        </w:tc>
      </w:tr>
    </w:tbl>
    <w:bookmarkStart w:name="z13" w:id="7"/>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типов изменений регистрационного досье лекарственного препарата </w:t>
      </w:r>
    </w:p>
    <w:bookmarkEnd w:id="7"/>
    <w:bookmarkStart w:name="z14" w:id="8"/>
    <w:p>
      <w:pPr>
        <w:spacing w:after="0"/>
        <w:ind w:left="0"/>
        <w:jc w:val="left"/>
      </w:pPr>
      <w:r>
        <w:rPr>
          <w:rFonts w:ascii="Times New Roman"/>
          <w:b/>
          <w:i w:val="false"/>
          <w:color w:val="000000"/>
        </w:rPr>
        <w:t xml:space="preserve"> I. Детализированные сведения классификатора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419"/>
        <w:gridCol w:w="1420"/>
        <w:gridCol w:w="6812"/>
        <w:gridCol w:w="1177"/>
        <w:gridCol w:w="888"/>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Код группы видов изменений</w:t>
            </w:r>
          </w:p>
          <w:bookmarkEnd w:id="9"/>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подгруппы видов изменений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изменения</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изменений</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01</w:t>
            </w:r>
          </w:p>
          <w:bookmarkEnd w:id="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держателе регистрационного удостоверения (при условии неизменности юридического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и (или) адреса держателя регистрационного удостоверения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(торгового) наименования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(торгового) наименования лекарственного препарата, зарегистрированного в соответствии с Правилами регистрации и экспертизы лекарственных средств для медицинского применения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(торгового) наименования лекарственного препарата, зарегистрированного по национальной процедуре (регистрация только в референтном государстве)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активной фармацевтической субстанции или вспомогательного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активной фармацевтической субстанции или вспомогательного вещества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и (или) адреса производителей и поставщиков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наименования и (или) адреса: производителя (включая, если применимо, площадки по контролю качества), или держателя мастер-файла активной фармацевтической субстанции,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(указанных в техническом досье), если в регистрационном досье отсутствуют сертификаты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вспомогательного вещества (указанных в техническом досье)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 (или) адреса производителя лекарственного препарата, включая выпускающие площадки и площадки по контролю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за которые отвечает производитель (импортер), включают выпуск серий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за которые отвечает производитель (импортер), не включают выпуск серий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кода АТХ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АТХ препарата вследствие утверждения или изменения кода АТХ ВОЗ</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при условии сохранения не менее 1 ранее одобренной производственной площадки (производителя), осуществляющей те же функции, что и подлежащая исключению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даты аудита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02</w:t>
            </w:r>
          </w:p>
          <w:bookmarkEnd w:id="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качества. Активная фармацевтическая субстанция.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контроль качества), если в регистрационном досье отсутствует сертификат соответствия монографии Европейской фармакопеи.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производитель принадлежит к той же фармацевтической группе, что и одобренный производитель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нового производителя активной фармацевтической субстанции, обоснованной мастер-файлом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производитель использует резко отличающийся способ синтеза или условия производства, которые могут изменить такие важные показатели качества активной фармацевтической субстанции,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производитель материала, требующего оценки вирусной безопасности и (или) риска трансмиссивной губчатой энцефалопатии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нового производителя активной фармацевтической субстанции, не имеющей мастер-файла активной фармацевтической субстанции и требующей существенного обновления соответствующего раздела досье по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альтернативной площадки по стерилизации активной фармацевтической субстанции с использованием метода, установленного в Фармакопее Евразийского экономического союза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новой площадки по микронизации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соглашения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площадка по хранению главного банка клеток и (или) рабочих банков клеток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процесса производства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несущественное изменение процесса производства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затрагивает растительный лекарственный препарат, а именно географический источник, способ производства или приготовления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несущественное изменение закрытой части мастер-файла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серии вплоть до 10 раз по сравнению с зарегистрированным размером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10-кратное разукрупнение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требует анализа сопоставимости биологической (иммунологической)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серии более 10 раз по сравнению с зарегистрированным размером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внутрипроизводственных критериев приемлемости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новых внутрипроизводственных испытаний или критериев приемлемости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незначимого внутрипроизводственного испытания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одобренных внутрипроизводственных критериев приемлемости, которые могут существенно повлиять на совокупное качество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внутрипроизводственного испытания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активной фармацевтической субстанции сезонной, препандемической или пандемической вакцины для профилактики гриппа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штамма(-ов) сезонной, препандемической или пандемической вакцины для профилактики гриппа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03</w:t>
            </w:r>
          </w:p>
          <w:bookmarkEnd w:id="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качества. Активная фармацевтическая субстанция. Контроль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 лекарственных препаратов, подлежащих выпуску серий официальным контрольным органом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в спецификацию нового параметра и соответствующего ему метода испытания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незначительного параметра спецификации (например, устаревшего параметра)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выходящее за одобренный диапазон критериев приемлемости спецификаций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одобренных критериев приемлемости спецификации на исходные материалы (промежуточные продукты), которые могут существенно повлиять на совокупное качество активной фармацевтической субстанции и (или)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собственных данных спецификации на данные неофициальной фармакопеи или фармакопеи третьей страны, в случае отсутствия статьи Фармакопеи Евразийского экономического союза или фармакопеи государства – члена Евразийского экономического союза на активную фармацевтическую субстанцию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активной фармацевтической субстанции или исходного материала (промежуточного продукта, реактива), используемого в процессе производства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незначимые изменения одобренной аналитической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аналитической методики, если альтернативная ей аналитическая методика одобрена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3"/>
          <w:p>
            <w:pPr>
              <w:spacing w:after="20"/>
              <w:ind w:left="20"/>
              <w:jc w:val="both"/>
            </w:pPr>
            <w:r>
              <w:rPr>
                <w:rFonts w:ascii="Times New Roman"/>
                <w:b w:val="false"/>
                <w:i w:val="false"/>
                <w:color w:val="000000"/>
                <w:sz w:val="20"/>
              </w:rPr>
              <w:t>
04</w:t>
            </w:r>
          </w:p>
          <w:bookmarkEnd w:id="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качества. Активная фармацевтическая субстанция. Упаковочно-укупорочная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первичной упаковки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(или) количественный состав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активные фармацевтические субстанции (нестерильные)</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параметров спецификации и (или) критериев приемлемости первичной упаковки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в спецификацию нового параметра и соответствующего ему метода испытаний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несущественного параметра спецификации (например, устаревшего параметра)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параметра спецификации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испытания первичной упаковки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незначимые изменения утвержденной аналитической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аналитической методики (включая добавление или замену)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аналитической методики, если альтернативная ей методика утверждена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4"/>
          <w:p>
            <w:pPr>
              <w:spacing w:after="20"/>
              <w:ind w:left="20"/>
              <w:jc w:val="both"/>
            </w:pPr>
            <w:r>
              <w:rPr>
                <w:rFonts w:ascii="Times New Roman"/>
                <w:b w:val="false"/>
                <w:i w:val="false"/>
                <w:color w:val="000000"/>
                <w:sz w:val="20"/>
              </w:rPr>
              <w:t>
05</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качества. Активная фармацевтическая субстанция. Стабильность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периода повторного испытания (периода хранения)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периода повторного испытания (периода хранения)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периода повторного испытания путем экстраполяции данных по стабильности, не соответствующей актам Евразийской экономической комиссии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периода хранения биологической (иммунологической) активной фармацевтической субстанции, не соответствующее одобренной программе изучения стабильности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введение периода повторного испытания (периода хранения), подтвержденного данными естественного хранения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 активной фармацевтической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 активной фармацевтической субстанции на более строгие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утвержденной программы изучения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утвержденной программы изучения стабильности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5"/>
          <w:p>
            <w:pPr>
              <w:spacing w:after="20"/>
              <w:ind w:left="20"/>
              <w:jc w:val="both"/>
            </w:pPr>
            <w:r>
              <w:rPr>
                <w:rFonts w:ascii="Times New Roman"/>
                <w:b w:val="false"/>
                <w:i w:val="false"/>
                <w:color w:val="000000"/>
                <w:sz w:val="20"/>
              </w:rPr>
              <w:t>
06</w:t>
            </w:r>
          </w:p>
          <w:bookmarkEnd w:id="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качества. Активная фармацевтическая субстанция. Проектное поле и протокол пострегистрационных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нового проектного поля или расширение одобренного проектного поля активной фармацевтической субстанции, затрагивающие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одну операционную единицу процесса производства активной фармацевтической субстанции, включая соответствующие внутрипроизводственный контроль и (или) аналитические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исходных материалов (промежуточных продуктов) и (или)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(исключение) пострегистрационного протокола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пострегистрационного протокола управления изменениями, затрагивающими активную фармацевтическую субстанцию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пострегистрационного протокола управления изменениями, затрагивающими активную фармацевтическую субстанцию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утвержденного протокола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изменения протокола управления изменениями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незначимые изменения протокола управления изменениями, которые не изменяют стратегию, описанную в протоколе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изменений, предусмотренных утвержденным протоколом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не требует дополнительных вспомогательных данных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требует дополнительных вспомогательных данных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биологического (иммунологического)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6"/>
          <w:p>
            <w:pPr>
              <w:spacing w:after="20"/>
              <w:ind w:left="20"/>
              <w:jc w:val="both"/>
            </w:pPr>
            <w:r>
              <w:rPr>
                <w:rFonts w:ascii="Times New Roman"/>
                <w:b w:val="false"/>
                <w:i w:val="false"/>
                <w:color w:val="000000"/>
                <w:sz w:val="20"/>
              </w:rPr>
              <w:t>
07</w:t>
            </w:r>
          </w:p>
          <w:bookmarkEnd w:id="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Внешний вид и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добавление оттисков, гравировки или иных знаков, в том числе замена или добавление чернил, используемых при производстве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оттисков, гравировки или иных знаков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рисок (линий разлома), предназначенных для разделения на равные дозы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или размеров лекарственной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капсулы, суппозитории и пессарии с немедленным высвобождением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 набора для радиофармацевтического лекарственного препарата с другим объемом заполнения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состава (вспомогательных веществ) лекарственного препарата. Вкусовые добавки (ароматизаторы) или красители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исключение или замена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содержания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(вспомогательных веществ) лекарственного препарата. Прочие вспомогательные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или количественные изменения одного или более вспомогательных веществ, которые могут существенно повлиять на качество, безопасность или эффективность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затрагивающее биологический (иммунологический) лекарственный препарат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трансмиссивной губчатой энцефалопатии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обоснованное результатами исследования биоэквивалентности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оболочки лекарственных форм для приема внутрь или изменение массы оболочки капсулы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лекарственные формы для приема внутрь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концентрации (дозировки)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(дозировки)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комплектности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контейнера с растворителем (разбавителем) из упаковки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7"/>
          <w:p>
            <w:pPr>
              <w:spacing w:after="20"/>
              <w:ind w:left="20"/>
              <w:jc w:val="both"/>
            </w:pPr>
            <w:r>
              <w:rPr>
                <w:rFonts w:ascii="Times New Roman"/>
                <w:b w:val="false"/>
                <w:i w:val="false"/>
                <w:color w:val="000000"/>
                <w:sz w:val="20"/>
              </w:rPr>
              <w:t>
08</w:t>
            </w:r>
          </w:p>
          <w:bookmarkEnd w:id="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новой производственной площадки для части или всех процессов производства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по вторичной упаковке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по первичной упаковке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требующая проведения первичной или продуктспецифичной инспекции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импортера, соглашений о выпуске серий и испытаний по контролю качества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площадки, на которой осуществляется контроль качества (испытание) серий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производителя, ответственного за выпуск серий, за исключением контроля качества (испытания) серий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производителя, ответственного за выпуск серий, включая контроль качества (испытание) серий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производителя, ответственного за выпуск серий, включая контроль качества (испытание) биологического (иммунологического) лекарственного препарата, если один из методов испытаний, осуществляемый на площадке является биологическим (иммунологическим, иммунохимическим)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незначимые изменения процесса производства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изменения процесса производства, которые могут оказать существенное влияние на качество, безопасность и эффективность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препарат является биологическим (иммунологическим), и изменение требует оценки сопоставимости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нестандартного терминального метода стерилизации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увеличение избытка, используемого в отношении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незначимое изменение процесса производства водной суспензии для приема внутрь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серии (включая диапазоны размера серии)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укрупнение вплоть до 10 раз по сравнению с одобренным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разукрупнение до 10 раз</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затрагивает все остальные лекарственные формы, производящиеся с помощью комплексных процессов производства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укрупнение более чем в 10 раз по сравнению с одобренным размером серии лекарственных форм с немедленным высвобождением (для приема внутрь)</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внутрипроизводственных испытаний или критериев приемлемости, использующихся при производстве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внутрипроизводственных критериев приемлемости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новых испытаний или критериев приемлемости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несущественного внутрипроизводственного испытания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внутрипроизводственного испытания, которое может существенно повлиять на совокупное качество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одобренных внутрипроизводственных критериев приемлемости, которые могут существенно повлиять на совокупное качество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внутрипроизводственного испытания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
          <w:p>
            <w:pPr>
              <w:spacing w:after="20"/>
              <w:ind w:left="20"/>
              <w:jc w:val="both"/>
            </w:pPr>
            <w:r>
              <w:rPr>
                <w:rFonts w:ascii="Times New Roman"/>
                <w:b w:val="false"/>
                <w:i w:val="false"/>
                <w:color w:val="000000"/>
                <w:sz w:val="20"/>
              </w:rPr>
              <w:t>
09</w:t>
            </w:r>
          </w:p>
          <w:bookmarkEnd w:id="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Контроль качества вспомогательных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параметров спецификации и (или) критериев приемлемости вспомогательного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в спецификацию нового параметра спецификации и соответствующего ему метода испытаний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несущественного параметра спецификации (например, исключение устаревшего параметра)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выходящее за одобренные критерии приемлемости спецификаций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параметра спецификации, который может существенно повлиять на совокупное качество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 вспомогательное вещество отсутствует статья Фармакопеи Евразийского экономического союза или фармакопеи государства – члена Евразийского экономического союза, изменение в собственных данных спецификации на неофициальную фармакопею или фармакопею третьей страны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для вспомогательного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незначимые изменения одобренной аналитической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аналитической методики, если альтернативная ей методика уже одобрена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биологического (иммунологического, иммунохимического) метода испытаний или метода, </w:t>
            </w:r>
            <w:r>
              <w:br/>
            </w:r>
            <w:r>
              <w:rPr>
                <w:rFonts w:ascii="Times New Roman"/>
                <w:b w:val="false"/>
                <w:i w:val="false"/>
                <w:color w:val="000000"/>
                <w:sz w:val="20"/>
              </w:rPr>
              <w:t>
в котором используется биологический реактив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аналитической методики (включая добавление или замену)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источника получения вспомогательного вещества или реактива с риском трансмиссивной губчатой энцефалопатии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материала с риском трансмиссивной губчатой энцефалопатии на материал растительного или синтетического происхождения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материала с риском трансмиссивной губчатой энцефалопатии на материал растительного или синтетического происхождения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введение материала с риском трансмиссивной губчатой энцефалопатии или замена материала с риском трансмиссивной губчатой энцефалопатии на другой материал , не имеющий сертификата соответствия по трансмиссивной губчатой энцефалопатии, с риском трансмиссивной губчатой энцефалопатии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синтеза или получение нефармакопейного вспомогательного вещества (если описан в регистрационном досье) или нового вспомогательного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несущественное изменение синтеза или получение нефармакопейного вспомогательного вещества или нового вспомогательного вещества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изменяются спецификации или имеется изменение физико-химических свойств вспомогательного вещества, которые могут повлиять на качество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 биологическое (иммунологическое) вещество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
          <w:p>
            <w:pPr>
              <w:spacing w:after="20"/>
              <w:ind w:left="20"/>
              <w:jc w:val="both"/>
            </w:pPr>
            <w:r>
              <w:rPr>
                <w:rFonts w:ascii="Times New Roman"/>
                <w:b w:val="false"/>
                <w:i w:val="false"/>
                <w:color w:val="000000"/>
                <w:sz w:val="20"/>
              </w:rPr>
              <w:t>
10</w:t>
            </w:r>
          </w:p>
          <w:bookmarkEnd w:id="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Контроль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параметров спецификации и (или) критериев приемлемости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 лекарственных препаратов, подлежащих выпуску серий официальным контрольным органом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в спецификацию нового параметра и соответствующего ему метода испытаний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несущественного параметра спецификации (например, исключение устаревшего параметра)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выходящее за одобренные критерии приемлемости спецификаций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параметра спецификации, который может существенно повлиять на совокупное качество лекарственного препарата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досье с целью соответствия положениям обновленной общей статьи Фармакопеи Евразийского экономического союза на лекарственный препарат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статьи Фармакопеи Евразийского экономического союза "Однородность дозирования" в целях замены текущего зарегистрированного метода, либо статьи Фармакопеи Евразийского экономического союза "Однородность массы", либо статьи Фармакопеи Евразийского экономического союза "Однородность содержимого"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изменения утвержденной аналитической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аналитической методики, если альтернативная ей методика уже одобрена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аналитической методики (включая добавление или замену)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аналитической методики в целях соответствия обновленной общей статье Фармакопеи Евразийского экономического союза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целях отражения соответствия Фармакопеи Евразийского экономического союза и исключения упоминания устаревшей собственной аналитической методики и ее номера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затрагивающее параметры выпуска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затрагивающее введение выпуска в реальном времени или выпуска по параметрам при производстве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
          <w:p>
            <w:pPr>
              <w:spacing w:after="20"/>
              <w:ind w:left="20"/>
              <w:jc w:val="both"/>
            </w:pPr>
            <w:r>
              <w:rPr>
                <w:rFonts w:ascii="Times New Roman"/>
                <w:b w:val="false"/>
                <w:i w:val="false"/>
                <w:color w:val="000000"/>
                <w:sz w:val="20"/>
              </w:rPr>
              <w:t>
11</w:t>
            </w:r>
          </w:p>
          <w:bookmarkEnd w:id="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Упаковочно-укупорочная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первичной упаковки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Твердые лекарственные формы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Мягкие и нестерильные жидкие лекарственные формы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Стерильные лекарственные препараты и биологические (иммунологические) лекарственные препараты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вида контейнера или добавление нового контейнера. Твердые, мягкие и нестерильные жидкие лекарственные формы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вида контейнера или добавление нового контейнера. Стерильные лекарственные препараты и биологические (иммунологические) лекарственные препараты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вида контейнера или добавление нового контейнера. Исключение контейнера первичной упаковки, которое не приводит к полному исключению дозировки или лекарственной формы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параметров спецификации и (или) критериев приемлемости первичной упаковки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критериев приемлемости спецификации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в спецификацию нового параметра и соответствующей ему аналитической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несущественного параметра спецификации (например, исключение устаревшего параметра)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параметра спецификации из соображений безопасности или качества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для первичной упаковки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незначимые изменения одобренной аналитической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аналитической методики (включая замену или добавление)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аналитической методики, если альтернативная ей методика уже одобрена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или размеров первичной упаковки или укупорки (первичной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нестерильные лекарственные препараты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или размеров затрагивает ключевые показатели упаковочного материала, которые могут существенно повлиять на доставку, применение, безопасность или стабильность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лекарственные препараты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упаковки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количества единиц лекарственной формы (например, таблеток, ампул и т.д.) в упаковке. Изменение укладывается в одобренный диапазон размеров упаковок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количества единиц лекарственной формы (например, таблеток, ампул и т.д.) в упаковке. Изменение не укладывается в одобренный диапазон размеров упаковок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размера(-ов) упаковки(-ок)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 изменение дизайна, цвета маркировки, нанесение штрихкода (2D, 3D), нанесение шрифта Брайля)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затрагивающее информацию о лекарственном препарате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не затрагивающее информацию о лекарственном препарате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поставщика компонентов упаковки или устройства (если указано в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поставщика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поставщика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изменение поставщиков спейсеров дозированных ингаляторов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
          <w:p>
            <w:pPr>
              <w:spacing w:after="20"/>
              <w:ind w:left="20"/>
              <w:jc w:val="both"/>
            </w:pPr>
            <w:r>
              <w:rPr>
                <w:rFonts w:ascii="Times New Roman"/>
                <w:b w:val="false"/>
                <w:i w:val="false"/>
                <w:color w:val="000000"/>
                <w:sz w:val="20"/>
              </w:rPr>
              <w:t>
12</w:t>
            </w:r>
          </w:p>
          <w:bookmarkEnd w:id="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Стабильность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годности или условий хранения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срока годности лекарственного препарата, упакованного в коммерческую упаковку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срока годности лекарственного препарата после первого вскрытия упаковки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срока годности лекарственного препарата после разведения или восстановления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срока годности лекарственного препарата, упакованного в коммерческую упаковку (подтвержденное данными в режиме реального времени)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срока годности лекарственного препарата после первого вскрытия (подтвержденное данными в режиме реального времени)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срока годности лекарственного препарата после разведения или восстановления (подтвержденное данными в режиме реального времени)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срока годности лекарственного препарата путем экстраполяции данных по стабильности, не соответствующей актам Евразийской экономической комиссии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 биологических (иммунологических) лекарственных препаратов в случае, если исследования стабильности проведены не в соответствии с текущей одобренной программой изучения стабильности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 лекарственного препарата или лекарственного препарата после разведения (восстановления)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одобренного протокола стабильности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проектное поле и протокол пострегистрационных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нового проектного поля или расширение одобренного проектного поля лекарственного препарата (за исключением биологического), затрагивающее одну или более отдельных операций процесса производства лекарственного препарата, включая соответствующий внутрипроизводственный контроль и (или) аналитические методики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нового проектного поля или расширение одобренного проектного поля лекарственного препарата (за исключением биологического), затрагивающее аналитические методики для вспомогательных веществ (промежуточных продуктов) и (или)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пострегистрационного протокола управления изменениями, затрагивающими лекарственный препарат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утвержденного протокола управления изменениями, затрагивающими лекарственный препарат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утвержденного протокола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значимое изменение протокола управления изменениями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незначимое изменение протокола управления изменениями, которые не затрагивают стратегию, описанную в протоколе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предусмотренного утвержденным протоколом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не требует дополнительных вспомогательных данных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требует дополнительных вспомогательных данных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изменения биологического (иммунологического)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
          <w:p>
            <w:pPr>
              <w:spacing w:after="20"/>
              <w:ind w:left="20"/>
              <w:jc w:val="both"/>
            </w:pPr>
            <w:r>
              <w:rPr>
                <w:rFonts w:ascii="Times New Roman"/>
                <w:b w:val="false"/>
                <w:i w:val="false"/>
                <w:color w:val="000000"/>
                <w:sz w:val="20"/>
              </w:rPr>
              <w:t>
13</w:t>
            </w:r>
          </w:p>
          <w:bookmarkEnd w:id="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Безопасность в отношении посторонних 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информации "Оценка безопасности относительно посторонних агентов" (раздел 3.2.A.2 регистрационного досье)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затрагивающие производственные этапы, изученные впервые на предмет одного или более посторонних агентов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устаревших исследований, затрагивающих производственные этапы и посторонних агентов, ранее включенных в регистрационное досье, с изменением оценки рисков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устаревших исследований, затрагивающих производственные этапы и посторонних агентов, ранее включенных в регистрационное досье, без изменения оценки рисков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Б.II.3.1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
          <w:p>
            <w:pPr>
              <w:spacing w:after="20"/>
              <w:ind w:left="20"/>
              <w:jc w:val="both"/>
            </w:pPr>
            <w:r>
              <w:rPr>
                <w:rFonts w:ascii="Times New Roman"/>
                <w:b w:val="false"/>
                <w:i w:val="false"/>
                <w:color w:val="000000"/>
                <w:sz w:val="20"/>
              </w:rPr>
              <w:t>
14</w:t>
            </w:r>
          </w:p>
          <w:bookmarkEnd w:id="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монографии Европейской фармакопеи (CEP), , и (или) соответствие статье Фармакопеи Евразийского экономического союза или государства-члена Евразийского экономического союза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нового или обновленного сертификата соответствия монографии Европейской фармакопеи на фармацевтическую субстанцию, исходный материал (реактив, промежуточный продукт), используемый в процесс производства фармацевтической субстанции, вспомогательное вещество, или его исключение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сертификат соответствия монографии Европейской фармакопеи от ранее одобренного производителя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сертификат соответствия монографии Европейской фармакопеи от ранее одобренного производителя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сертификат соответствия монографии Европейской фармакопеи от нового производителя (замена или добавление)</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сертификата соответствия монографии Европейской фармакопеи (в случае, если к материалу прилагалось несколько сертификатов)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сертификат соответствия монографии Европейской фармакопеи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монографии Европейской фармакопеи по трансмиссивной губчатой энцефалопатии на активную фармацевтическую субстанцию (исходный материал (реактив, промежуточный продукт), вспомогательное вещество) новый сертификат соответствия монографии Европейской фармакопеи по трансмиссивной губчатой энцефалопатии на активную фармацевтическую субстанцию от нового или ранее одобренного производителя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сертификат соответствия монографии Европейской фармакопеи по трансмиссивной губчатой энцефалопатии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сертификат соответствия монографии Европейской фармакопеи по трансмиссивной губчатой энцефалопатии на активную фармацевтическую субстанцию (исходный материал (реактив, промежуточный продукт), вспомогательное вещество) от ранее одобренного производителя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сертификата соответствия монографии Европейской фармакопеи по трансмиссивной губчатой энцефалопатии на активную фармацевтическую субстанцию (исходный материал (реактив, промежуточный продукт), вспомогательное вещество) (если к материалу прилагались несколько сертификатов)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(обновленный) сертификат соответствия монографии Европейской фармакопеи по трансмиссивной губчатой энцефалопатии на активную фармацевтическую субстанцию (исходный материал (реактив, промежуточный продукт), вспомогательное вещество)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целях соответствия Фармакопее Евразийского экономического союза или фармакопее государства – члена Евразийского экономического союза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спецификации ранее нефармакопейной субстанции в целях соответствия Фармакопее Евразийского экономического союза или фармакопее государства – члена Евразийского экономического союза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спецификации ранее нефармакопейной субстанции в целях соответствия Фармакопее Евразийского экономического союза или фармакопее государства – члена Евразийского экономического союза вспомогательного вещества (исходного материала) активной фармацевтической субстанции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в целях соответствия обновленной статье Фармакопеи Евразийского экономического союза или фармакопее </w:t>
            </w:r>
            <w:r>
              <w:br/>
            </w:r>
            <w:r>
              <w:rPr>
                <w:rFonts w:ascii="Times New Roman"/>
                <w:b w:val="false"/>
                <w:i w:val="false"/>
                <w:color w:val="000000"/>
                <w:sz w:val="20"/>
              </w:rPr>
              <w:t>государства – члена Евразийского экономического союза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спецификаций с фармакопеи государства – члена Евразийского экономического союза на Фармакопею Евразийского экономического союза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
          <w:p>
            <w:pPr>
              <w:spacing w:after="20"/>
              <w:ind w:left="20"/>
              <w:jc w:val="both"/>
            </w:pPr>
            <w:r>
              <w:rPr>
                <w:rFonts w:ascii="Times New Roman"/>
                <w:b w:val="false"/>
                <w:i w:val="false"/>
                <w:color w:val="000000"/>
                <w:sz w:val="20"/>
              </w:rPr>
              <w:t>
15</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измеряющего изделия или изделия для введения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изделия, не являющегося частью первичной упаковки медицинского изделия, зарегистрированного в Евразийском экономическом союзе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изделия, не являющегося частью первичной упаковки спейсеров дозирующих ингаляторов или другого устройства, которое может оказать существенное влияние на доставку фармацевтической субстанции препарата (например, небулайзер)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изделия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изделия, являющегося частью первичной упаковки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
          <w:p>
            <w:pPr>
              <w:spacing w:after="20"/>
              <w:ind w:left="20"/>
              <w:jc w:val="both"/>
            </w:pPr>
            <w:r>
              <w:rPr>
                <w:rFonts w:ascii="Times New Roman"/>
                <w:b w:val="false"/>
                <w:i w:val="false"/>
                <w:color w:val="000000"/>
                <w:sz w:val="20"/>
              </w:rPr>
              <w:t>
16</w:t>
            </w:r>
          </w:p>
          <w:bookmarkEnd w:id="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досье лекарственного препарата, обусловленных иными регуляторными процедурами. Мастер-файл плазмы (мастер-файл вакцинного антигена)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нового, обновленного или исправленного мастер-файла плазмы в регистрационное досье (процедура "мастер-файл плазмы 2-го этапа")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включение нового мастер-файла плазмы, влияющего на свойства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первое включение нового мастер-файла плазмы, не влияющего на свойства лекарственного препарата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обновленного (исправленного) мастер-файла плазмы: изменения влияют на свойства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обновленного (исправленного) мастер-файла плазмы: изменения не влияют на свойства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нового, обновленного или исправленного мастер-файла вакцинного антигена в регистрационное досье (процедура "мастер-файл вакцинного антигена 2-го этапа")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включение нового мастер-файла вакцинного антигена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обновленного (исправленного) мастер-файла вакцинного антигена: изменения влияют на свойства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обновленного (исправленного) мастер-файла вакцинного антигена: изменения не влияют на свойства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
          <w:p>
            <w:pPr>
              <w:spacing w:after="20"/>
              <w:ind w:left="20"/>
              <w:jc w:val="both"/>
            </w:pPr>
            <w:r>
              <w:rPr>
                <w:rFonts w:ascii="Times New Roman"/>
                <w:b w:val="false"/>
                <w:i w:val="false"/>
                <w:color w:val="000000"/>
                <w:sz w:val="20"/>
              </w:rPr>
              <w:t>
17</w:t>
            </w:r>
          </w:p>
          <w:bookmarkEnd w:id="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регистрационное досье лекарственного препарата изменений, обусловленных иными регуляторными процедурами. Обращение в Экспертный комитет по лекарственным средствам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досье по качеству, направленное на реализацию заключения Экспертного комитета по лекарственным средствам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реализует заключение Экспертного комитета по лекарственным средствам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досье по качеству не является частью заключения Экспертного комитета по лекарственным средствам и обновление направлено на его гармонизацию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
          <w:p>
            <w:pPr>
              <w:spacing w:after="20"/>
              <w:ind w:left="20"/>
              <w:jc w:val="both"/>
            </w:pPr>
            <w:r>
              <w:rPr>
                <w:rFonts w:ascii="Times New Roman"/>
                <w:b w:val="false"/>
                <w:i w:val="false"/>
                <w:color w:val="000000"/>
                <w:sz w:val="20"/>
              </w:rPr>
              <w:t>
18</w:t>
            </w:r>
          </w:p>
          <w:bookmarkEnd w:id="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безопасности, эффективности и фармаконадзора. Лекарственные препараты для медицинского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общей характеристики лекарственного препарата, маркировки или листка-вкладыша, направленное на реализацию заключения Экспертного комитета по лекарственным средствам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обращения в Экспертный комитет по лекарственным средствам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обращения в Экспертный комитет по лекарственным средствам, но изменение реализует заключение Экспертного комитета по лекарственным средствам, новые дополнительные данные держателем регистрационного удостоверения не представлены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обращения в Экспертный комитет по лекарственным средствам, но изменения реализует заключение Экспертного комитета по лекарственным средствам, держатель регистрационного удостоверения представил новые дополнительные данные</w:t>
            </w:r>
            <w:r>
              <w:br/>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общей характеристики лекарственного препарата, маркировки или листка-вкладыша воспроизведенного, или гибридного, или биоаналогичного лекарственного препарата после оценки аналогичного изменения в отношении референтного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отношении которого от держателя регистрационного удостоверения не требуется представлять новые дополнительные данные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требующее представления держателем регистрационного удостоверения новых дополнительных данных, обосновывающих такое изменение (например, сопоставимость)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общей характеристики лекарственного препарата, маркировки или листка-вкладыша лекарственного препарата для медицинского применения, направленное на реализацию процедуры, затрагивающей периодический отчет по безопасности или пострегистрационное исследование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формулировки, согласованной уполномоченным органом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требующего представления держателем регистрационного удостоверения новых дополнительных данных, обосновывающих такое изменение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общей характеристики лекарственного препарата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заключающееся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отпуска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воспроизведенных или гибридных или биоаналогичных лекарственных препаратов после изменения условий отпуска референтного лекарственного препарата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изменения условий отпуска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показания к применению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нового показания к применению или изменение ранее одобренного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показания к применению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лекарственной формы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дозировки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изменение резюме системы фармаконадзора лекарственного препарата для медицинского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резюме системы фармаконадзора, изменений квалифицированного лица по фармаконадзору (включая контактную информацию) и (или) изменение местоположения мастер-файла системы фармаконадзора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существующей системы фармаконадзора согласно подробному описанию системы фармаконадзора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квалифицированного лица по фармаконадзору, и (или) контактной информации, и (или) процедуры резервирования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подробного описания системы фармаконадзора,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подробное описание системы фармаконадзора по результатам экспертизы подробного описания системы фармаконадзора другого лекарственного препарата того же держателя регистрационного удостоверения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В.I.9.г</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частоты и (или) даты подачи периодического отчета по безопасности лекарственных препаратов для медицинского применения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изменение обязательств и условий регистрации, включая план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формулировки, согласованной с уполномоченным органом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изменения, требующего представления держателем регистрационного удостоверения новых дополнительных данных, подлежащей экспертизе уполномоченным органом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изменения, включающие подачу исследований уполномоченному органу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
          <w:p>
            <w:pPr>
              <w:spacing w:after="20"/>
              <w:ind w:left="20"/>
              <w:jc w:val="both"/>
            </w:pPr>
            <w:r>
              <w:rPr>
                <w:rFonts w:ascii="Times New Roman"/>
                <w:b w:val="false"/>
                <w:i w:val="false"/>
                <w:color w:val="000000"/>
                <w:sz w:val="20"/>
              </w:rPr>
              <w:t>
19</w:t>
            </w:r>
          </w:p>
          <w:bookmarkEnd w:id="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плазмы. Мастер-файл вакцинного антигена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наименований и (или) адресов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 (или) адреса держателя сертификата мастер-файла вакцинного антигена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наименования и (или) адреса держателя сертификата мастер-файла плазмы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трансфер текущего держателя сертификата мастер-файла плазмы новому держателю сертификата мастер-файла плазмы (другому юридическому лицу)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 (или) адреса учреждений крови, включая центры по сбору крови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центра по сбору крови (плазмы) в рамках учреждения, включенного в мастер-файл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или изменение статуса (функционирующий или нефункционирующий) учреждений (центров), используемых для сбора крови (плазмы) или для проведения испытаний крово- и плазмодач и пулов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нового учреждения в целях сбора крови (плазмы), не включенного в мастер-файл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или включение нового центра по сбору крови (плазмы) в целях испытания донаций крови и плазмы и (или) пулов плазмы в рамках учреждения, включенного в мастер-файл плазмы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нового учреждения для испытаний донаций крови и плазмы и (или) пулов плазмы, не включенных в мастер-файл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включение нового учреждения или центра, в котором хранится плазма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учреждения или центра, в котором хранится плазма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включение организации, вовлеченной в транспортировку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организации, вовлеченной в транспортировку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испытательной системы и тест-системы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тест-системы, зарегистрированной в Евразийском экономическом союзе в качестве медицинского изделия, в целях проведения испытаний отдельных донаций крови и плазмы в качестве новой тест-системы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тест-системы, не зарегистрированной в Евразийском экономическом союзе в качестве медицинского изделия, в целях проведения испытаний отдельных донаций крови и плазмы в качестве новой тест-системы (новая испытательная система ранее не была одобрена в мастер-файле плазмы ни для одного центра по сбору крови (плазмы) в целях испытания донаций крови и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тест-системы, не зарегистрированной в Евразийском экономическом союзе в качестве медицинского изделия, в целях проведения испытаний отдельных донаций крови и плазмы в качестве новой тест-системы (новая испытательная система была одобрена в мастер-файле плазмы для других центров по сбору крови (плазмы) в целях испытания донаций крови и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испытательной системы (метода), используемого для испытания пулов (испытание на антитела, антигены или амплификация нуклеиновых кислот)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карантинного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расширение процедуры карантинного хранения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периода карантинного хранения или сокращение его продолжительности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добавление контейнеров для крови (например, мешков, флаконов)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контейнеры для крови зарегистрированы в качестве медицинских изделий в Евразийском экономическом союзе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контейнеры для крови не зарегистрированы в качестве медицинских изделий в Евразийском экономическом союзе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хранения (транспортировки)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условий хранения и (или) транспортировки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максимального срока хранения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испытания на вирусные маркеры, если такое введение окажет значительное влияние на оценку вирусных рисков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приготовления пула плазмы (например, метода производства, размера пула, хранения образцов пула плазмы)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мер, принимаемых при ретроспективном обнаружении, что донации крови и плазмы подлежат исключению из обработки (процедура ретроспективного анализа)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
          <w:p>
            <w:pPr>
              <w:spacing w:after="20"/>
              <w:ind w:left="20"/>
              <w:jc w:val="both"/>
            </w:pPr>
            <w:r>
              <w:rPr>
                <w:rFonts w:ascii="Times New Roman"/>
                <w:b w:val="false"/>
                <w:i w:val="false"/>
                <w:color w:val="000000"/>
                <w:sz w:val="20"/>
              </w:rPr>
              <w:t>
20</w:t>
            </w:r>
          </w:p>
          <w:bookmarkEnd w:id="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лекарственного препарата, требующее новой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активной фармацевтической субстанции, которое не расценивается как новая активная фармацевтическая субстанция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химической активной фармацевтической субстанции другой солью (эфиром, комплексом, производным) с той же самой активной функциональной частью молекулы действующего вещества, отвечающей за терапевтический эффект, при отсутствии значимых различий в эффективности/безопасности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другим изомером, иной смесью изомеров, смесью отдельных изомеров (например, рацемата на единственный энантиомер) при отсутствии значимых различий в эффективности (безопасности)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биологической активной фармацевтической субстанции на другую с измененной молекулярной структурой при отсутствии существенных различий по эффективности и (или) безопасности, за исключением изменений активной фармацевтической субстанции сезонной, препандемической или пандемической вакцины для профилактики гриппа человека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вектора, используемого для получения антигена или исходного материала, включая новый главный банк клеток из другого источника при отсутствии значимых различий в эффективности (безопасности)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лиганд или связывающий механизм радиофармацевтического препарата при отсутствии значимых различий в эффективности (безопасности)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экстрагента (растворителя) или соотношения лекарственного растительного сырья и фармацевтической субстанции растительного происхождения при отсутствии значимых различий в эффективности (безопасности)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дозировки, лекарственной формы и способа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биодоступности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фармакокинетики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добавление новой дозировки (активности)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добавление новой лекарственной формы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добавление нового пути введения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r>
    </w:tbl>
    <w:bookmarkStart w:name="z414" w:id="30"/>
    <w:p>
      <w:pPr>
        <w:spacing w:after="0"/>
        <w:ind w:left="0"/>
        <w:jc w:val="left"/>
      </w:pPr>
      <w:r>
        <w:rPr>
          <w:rFonts w:ascii="Times New Roman"/>
          <w:b/>
          <w:i w:val="false"/>
          <w:color w:val="000000"/>
        </w:rPr>
        <w:t xml:space="preserve"> II. Паспорт классификатора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309"/>
        <w:gridCol w:w="9065"/>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
          <w:p>
            <w:pPr>
              <w:spacing w:after="20"/>
              <w:ind w:left="20"/>
              <w:jc w:val="both"/>
            </w:pPr>
            <w:r>
              <w:rPr>
                <w:rFonts w:ascii="Times New Roman"/>
                <w:b w:val="false"/>
                <w:i w:val="false"/>
                <w:color w:val="000000"/>
                <w:sz w:val="20"/>
              </w:rPr>
              <w:t>
№ п/п</w:t>
            </w:r>
          </w:p>
          <w:bookmarkEnd w:id="3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
          <w:p>
            <w:pPr>
              <w:spacing w:after="20"/>
              <w:ind w:left="20"/>
              <w:jc w:val="both"/>
            </w:pPr>
            <w:r>
              <w:rPr>
                <w:rFonts w:ascii="Times New Roman"/>
                <w:b w:val="false"/>
                <w:i w:val="false"/>
                <w:color w:val="000000"/>
                <w:sz w:val="20"/>
              </w:rPr>
              <w:t>
1</w:t>
            </w:r>
          </w:p>
          <w:bookmarkEnd w:id="3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
          <w:p>
            <w:pPr>
              <w:spacing w:after="20"/>
              <w:ind w:left="20"/>
              <w:jc w:val="both"/>
            </w:pPr>
            <w:r>
              <w:rPr>
                <w:rFonts w:ascii="Times New Roman"/>
                <w:b w:val="false"/>
                <w:i w:val="false"/>
                <w:color w:val="000000"/>
                <w:sz w:val="20"/>
              </w:rPr>
              <w:t>
1</w:t>
            </w:r>
          </w:p>
          <w:bookmarkEnd w:id="3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
          <w:p>
            <w:pPr>
              <w:spacing w:after="20"/>
              <w:ind w:left="20"/>
              <w:jc w:val="both"/>
            </w:pPr>
            <w:r>
              <w:rPr>
                <w:rFonts w:ascii="Times New Roman"/>
                <w:b w:val="false"/>
                <w:i w:val="false"/>
                <w:color w:val="000000"/>
                <w:sz w:val="20"/>
              </w:rPr>
              <w:t>
2</w:t>
            </w:r>
          </w:p>
          <w:bookmarkEnd w:id="3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
          <w:p>
            <w:pPr>
              <w:spacing w:after="20"/>
              <w:ind w:left="20"/>
              <w:jc w:val="both"/>
            </w:pPr>
            <w:r>
              <w:rPr>
                <w:rFonts w:ascii="Times New Roman"/>
                <w:b w:val="false"/>
                <w:i w:val="false"/>
                <w:color w:val="000000"/>
                <w:sz w:val="20"/>
              </w:rPr>
              <w:t>
3</w:t>
            </w:r>
          </w:p>
          <w:bookmarkEnd w:id="3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типов изменений регистрационного досье лекарственного препарата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
          <w:p>
            <w:pPr>
              <w:spacing w:after="20"/>
              <w:ind w:left="20"/>
              <w:jc w:val="both"/>
            </w:pPr>
            <w:r>
              <w:rPr>
                <w:rFonts w:ascii="Times New Roman"/>
                <w:b w:val="false"/>
                <w:i w:val="false"/>
                <w:color w:val="000000"/>
                <w:sz w:val="20"/>
              </w:rPr>
              <w:t>
4</w:t>
            </w:r>
          </w:p>
          <w:bookmarkEnd w:id="3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КТИРД</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
          <w:p>
            <w:pPr>
              <w:spacing w:after="20"/>
              <w:ind w:left="20"/>
              <w:jc w:val="both"/>
            </w:pPr>
            <w:r>
              <w:rPr>
                <w:rFonts w:ascii="Times New Roman"/>
                <w:b w:val="false"/>
                <w:i w:val="false"/>
                <w:color w:val="000000"/>
                <w:sz w:val="20"/>
              </w:rPr>
              <w:t>
5</w:t>
            </w:r>
          </w:p>
          <w:bookmarkEnd w:id="3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20__ (ред. 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
          <w:p>
            <w:pPr>
              <w:spacing w:after="20"/>
              <w:ind w:left="20"/>
              <w:jc w:val="both"/>
            </w:pPr>
            <w:r>
              <w:rPr>
                <w:rFonts w:ascii="Times New Roman"/>
                <w:b w:val="false"/>
                <w:i w:val="false"/>
                <w:color w:val="000000"/>
                <w:sz w:val="20"/>
              </w:rPr>
              <w:t>
6</w:t>
            </w:r>
          </w:p>
          <w:bookmarkEnd w:id="3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24 апреля 2018 г. № 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
          <w:p>
            <w:pPr>
              <w:spacing w:after="20"/>
              <w:ind w:left="20"/>
              <w:jc w:val="both"/>
            </w:pPr>
            <w:r>
              <w:rPr>
                <w:rFonts w:ascii="Times New Roman"/>
                <w:b w:val="false"/>
                <w:i w:val="false"/>
                <w:color w:val="000000"/>
                <w:sz w:val="20"/>
              </w:rPr>
              <w:t>
7</w:t>
            </w:r>
          </w:p>
          <w:bookmarkEnd w:id="3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
          <w:p>
            <w:pPr>
              <w:spacing w:after="20"/>
              <w:ind w:left="20"/>
              <w:jc w:val="both"/>
            </w:pPr>
            <w:r>
              <w:rPr>
                <w:rFonts w:ascii="Times New Roman"/>
                <w:b w:val="false"/>
                <w:i w:val="false"/>
                <w:color w:val="000000"/>
                <w:sz w:val="20"/>
              </w:rPr>
              <w:t>
8</w:t>
            </w:r>
          </w:p>
          <w:bookmarkEnd w:id="4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
          <w:p>
            <w:pPr>
              <w:spacing w:after="20"/>
              <w:ind w:left="20"/>
              <w:jc w:val="both"/>
            </w:pPr>
            <w:r>
              <w:rPr>
                <w:rFonts w:ascii="Times New Roman"/>
                <w:b w:val="false"/>
                <w:i w:val="false"/>
                <w:color w:val="000000"/>
                <w:sz w:val="20"/>
              </w:rPr>
              <w:t>
9</w:t>
            </w:r>
          </w:p>
          <w:bookmarkEnd w:id="4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
          <w:p>
            <w:pPr>
              <w:spacing w:after="20"/>
              <w:ind w:left="20"/>
              <w:jc w:val="both"/>
            </w:pPr>
            <w:r>
              <w:rPr>
                <w:rFonts w:ascii="Times New Roman"/>
                <w:b w:val="false"/>
                <w:i w:val="false"/>
                <w:color w:val="000000"/>
                <w:sz w:val="20"/>
              </w:rPr>
              <w:t>
10</w:t>
            </w:r>
          </w:p>
          <w:bookmarkEnd w:id="4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Комитет фармации Министерства здравоохранения Республики Казахстан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3"/>
          <w:p>
            <w:pPr>
              <w:spacing w:after="20"/>
              <w:ind w:left="20"/>
              <w:jc w:val="both"/>
            </w:pPr>
            <w:r>
              <w:rPr>
                <w:rFonts w:ascii="Times New Roman"/>
                <w:b w:val="false"/>
                <w:i w:val="false"/>
                <w:color w:val="000000"/>
                <w:sz w:val="20"/>
              </w:rPr>
              <w:t>
11</w:t>
            </w:r>
          </w:p>
          <w:bookmarkEnd w:id="4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предназначен для классификации изменений, вносимых в регистрационное досье лекарственного препарата, с целью определения требований к процедурам внесения изменений в регистрационное досье лекарственного препарата в соответствии с типом вносимых изменений</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4"/>
          <w:p>
            <w:pPr>
              <w:spacing w:after="20"/>
              <w:ind w:left="20"/>
              <w:jc w:val="both"/>
            </w:pPr>
            <w:r>
              <w:rPr>
                <w:rFonts w:ascii="Times New Roman"/>
                <w:b w:val="false"/>
                <w:i w:val="false"/>
                <w:color w:val="000000"/>
                <w:sz w:val="20"/>
              </w:rPr>
              <w:t>
12</w:t>
            </w:r>
          </w:p>
          <w:bookmarkEnd w:id="4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r>
              <w:br/>
            </w:r>
            <w:r>
              <w:rPr>
                <w:rFonts w:ascii="Times New Roman"/>
                <w:b w:val="false"/>
                <w:i w:val="false"/>
                <w:color w:val="000000"/>
                <w:sz w:val="20"/>
              </w:rPr>
              <w:t>(область применения)</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при формировании представляемых субъектами обращения лекарственных средств в государственные органы государств – членов Евразийского экономического союза документов, в том числе в электронном виде, а также для обеспечения информационного взаимодействия при реализации общих процессов в рамках Евразийского экономического союза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5"/>
          <w:p>
            <w:pPr>
              <w:spacing w:after="20"/>
              <w:ind w:left="20"/>
              <w:jc w:val="both"/>
            </w:pPr>
            <w:r>
              <w:rPr>
                <w:rFonts w:ascii="Times New Roman"/>
                <w:b w:val="false"/>
                <w:i w:val="false"/>
                <w:color w:val="000000"/>
                <w:sz w:val="20"/>
              </w:rPr>
              <w:t>
13</w:t>
            </w:r>
          </w:p>
          <w:bookmarkEnd w:id="4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досье, изменение, лекарственный препарат, классификатор, обращение лекарственных средств</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6"/>
          <w:p>
            <w:pPr>
              <w:spacing w:after="20"/>
              <w:ind w:left="20"/>
              <w:jc w:val="both"/>
            </w:pPr>
            <w:r>
              <w:rPr>
                <w:rFonts w:ascii="Times New Roman"/>
                <w:b w:val="false"/>
                <w:i w:val="false"/>
                <w:color w:val="000000"/>
                <w:sz w:val="20"/>
              </w:rPr>
              <w:t>
14</w:t>
            </w:r>
          </w:p>
          <w:bookmarkEnd w:id="4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регулирование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7"/>
          <w:p>
            <w:pPr>
              <w:spacing w:after="20"/>
              <w:ind w:left="20"/>
              <w:jc w:val="both"/>
            </w:pPr>
            <w:r>
              <w:rPr>
                <w:rFonts w:ascii="Times New Roman"/>
                <w:b w:val="false"/>
                <w:i w:val="false"/>
                <w:color w:val="000000"/>
                <w:sz w:val="20"/>
              </w:rPr>
              <w:t>
15</w:t>
            </w:r>
          </w:p>
          <w:bookmarkEnd w:id="4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при разработке классификатора международные (межгосударственные, региональные) классификаторы и (или) стандарты не применялись</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8"/>
          <w:p>
            <w:pPr>
              <w:spacing w:after="20"/>
              <w:ind w:left="20"/>
              <w:jc w:val="both"/>
            </w:pPr>
            <w:r>
              <w:rPr>
                <w:rFonts w:ascii="Times New Roman"/>
                <w:b w:val="false"/>
                <w:i w:val="false"/>
                <w:color w:val="000000"/>
                <w:sz w:val="20"/>
              </w:rPr>
              <w:t>
16</w:t>
            </w:r>
          </w:p>
          <w:bookmarkEnd w:id="4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государственных справочников (классификаторов) </w:t>
            </w:r>
            <w:r>
              <w:br/>
            </w:r>
            <w:r>
              <w:rPr>
                <w:rFonts w:ascii="Times New Roman"/>
                <w:b w:val="false"/>
                <w:i w:val="false"/>
                <w:color w:val="000000"/>
                <w:sz w:val="20"/>
              </w:rPr>
              <w:t>государств – членов Евразийского экономического союза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классификатор не имеет аналогов в государствах – членах Евразийского экономического союза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9"/>
          <w:p>
            <w:pPr>
              <w:spacing w:after="20"/>
              <w:ind w:left="20"/>
              <w:jc w:val="both"/>
            </w:pPr>
            <w:r>
              <w:rPr>
                <w:rFonts w:ascii="Times New Roman"/>
                <w:b w:val="false"/>
                <w:i w:val="false"/>
                <w:color w:val="000000"/>
                <w:sz w:val="20"/>
              </w:rPr>
              <w:t>
17</w:t>
            </w:r>
          </w:p>
          <w:bookmarkEnd w:id="4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иерархический, число ступеней (уровней) –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0"/>
          <w:p>
            <w:pPr>
              <w:spacing w:after="20"/>
              <w:ind w:left="20"/>
              <w:jc w:val="both"/>
            </w:pPr>
            <w:r>
              <w:rPr>
                <w:rFonts w:ascii="Times New Roman"/>
                <w:b w:val="false"/>
                <w:i w:val="false"/>
                <w:color w:val="000000"/>
                <w:sz w:val="20"/>
              </w:rPr>
              <w:t>
18</w:t>
            </w:r>
          </w:p>
          <w:bookmarkEnd w:id="5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централизованная методика ведения. Добавление, изменение или исключение значений классификатора выполняется оператором в соответствии с актом Евразийской экономической комиссии. В случае исключения значения запись классификатора отмечается как недействующая с даты ее исключения и указываются реквизиты акта Евразийской экономической комиссии, регламентирующего окончание действия записи классификатора. </w:t>
            </w:r>
            <w:r>
              <w:br/>
            </w:r>
            <w:r>
              <w:rPr>
                <w:rFonts w:ascii="Times New Roman"/>
                <w:b w:val="false"/>
                <w:i w:val="false"/>
                <w:color w:val="000000"/>
                <w:sz w:val="20"/>
              </w:rPr>
              <w:t xml:space="preserve">
Коды записей классификатора являются уникальными, повторное использование кодов записей классификатора, в том числе недействующих, не допускается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1"/>
          <w:p>
            <w:pPr>
              <w:spacing w:after="20"/>
              <w:ind w:left="20"/>
              <w:jc w:val="both"/>
            </w:pPr>
            <w:r>
              <w:rPr>
                <w:rFonts w:ascii="Times New Roman"/>
                <w:b w:val="false"/>
                <w:i w:val="false"/>
                <w:color w:val="000000"/>
                <w:sz w:val="20"/>
              </w:rPr>
              <w:t>
19</w:t>
            </w:r>
          </w:p>
          <w:bookmarkEnd w:id="5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реквизитный состав классификатора (состав полей классификатора, области их значений и правила формирования) приведены в разделе III настоящего классификатора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52"/>
          <w:p>
            <w:pPr>
              <w:spacing w:after="20"/>
              <w:ind w:left="20"/>
              <w:jc w:val="both"/>
            </w:pPr>
            <w:r>
              <w:rPr>
                <w:rFonts w:ascii="Times New Roman"/>
                <w:b w:val="false"/>
                <w:i w:val="false"/>
                <w:color w:val="000000"/>
                <w:sz w:val="20"/>
              </w:rPr>
              <w:t>
20</w:t>
            </w:r>
          </w:p>
          <w:bookmarkEnd w:id="5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классификатора относятся к информации открытого доступа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3"/>
          <w:p>
            <w:pPr>
              <w:spacing w:after="20"/>
              <w:ind w:left="20"/>
              <w:jc w:val="both"/>
            </w:pPr>
            <w:r>
              <w:rPr>
                <w:rFonts w:ascii="Times New Roman"/>
                <w:b w:val="false"/>
                <w:i w:val="false"/>
                <w:color w:val="000000"/>
                <w:sz w:val="20"/>
              </w:rPr>
              <w:t>
21</w:t>
            </w:r>
          </w:p>
          <w:bookmarkEnd w:id="5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4"/>
          <w:p>
            <w:pPr>
              <w:spacing w:after="20"/>
              <w:ind w:left="20"/>
              <w:jc w:val="both"/>
            </w:pPr>
            <w:r>
              <w:rPr>
                <w:rFonts w:ascii="Times New Roman"/>
                <w:b w:val="false"/>
                <w:i w:val="false"/>
                <w:color w:val="000000"/>
                <w:sz w:val="20"/>
              </w:rPr>
              <w:t>
22</w:t>
            </w:r>
          </w:p>
          <w:bookmarkEnd w:id="5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5"/>
          <w:p>
            <w:pPr>
              <w:spacing w:after="20"/>
              <w:ind w:left="20"/>
              <w:jc w:val="both"/>
            </w:pPr>
            <w:r>
              <w:rPr>
                <w:rFonts w:ascii="Times New Roman"/>
                <w:b w:val="false"/>
                <w:i w:val="false"/>
                <w:color w:val="000000"/>
                <w:sz w:val="20"/>
              </w:rPr>
              <w:t>
23</w:t>
            </w:r>
          </w:p>
          <w:bookmarkEnd w:id="5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классификатора приведены в разделе I настоящего классификатора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6"/>
          <w:p>
            <w:pPr>
              <w:spacing w:after="20"/>
              <w:ind w:left="20"/>
              <w:jc w:val="both"/>
            </w:pPr>
            <w:r>
              <w:rPr>
                <w:rFonts w:ascii="Times New Roman"/>
                <w:b w:val="false"/>
                <w:i w:val="false"/>
                <w:color w:val="000000"/>
                <w:sz w:val="20"/>
              </w:rPr>
              <w:t>
24</w:t>
            </w:r>
          </w:p>
          <w:bookmarkEnd w:id="5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на информационном портале Евразийского экономического союза </w:t>
            </w:r>
          </w:p>
        </w:tc>
      </w:tr>
    </w:tbl>
    <w:bookmarkStart w:name="z441" w:id="57"/>
    <w:p>
      <w:pPr>
        <w:spacing w:after="0"/>
        <w:ind w:left="0"/>
        <w:jc w:val="left"/>
      </w:pPr>
      <w:r>
        <w:rPr>
          <w:rFonts w:ascii="Times New Roman"/>
          <w:b/>
          <w:i w:val="false"/>
          <w:color w:val="000000"/>
        </w:rPr>
        <w:t xml:space="preserve"> III. Описание структуры классификатора </w:t>
      </w:r>
    </w:p>
    <w:bookmarkEnd w:id="57"/>
    <w:bookmarkStart w:name="z442" w:id="58"/>
    <w:p>
      <w:pPr>
        <w:spacing w:after="0"/>
        <w:ind w:left="0"/>
        <w:jc w:val="both"/>
      </w:pPr>
      <w:r>
        <w:rPr>
          <w:rFonts w:ascii="Times New Roman"/>
          <w:b w:val="false"/>
          <w:i w:val="false"/>
          <w:color w:val="000000"/>
          <w:sz w:val="28"/>
        </w:rPr>
        <w:t>
      1. Настоящее описание устанавливает требования к структуре классификатора типов изменений регистрационного досье лекарственного препарата, в том числе определяет реквизитный состав и структуру классификатора, области значений реквизитов и правила их формирования.</w:t>
      </w:r>
    </w:p>
    <w:bookmarkEnd w:id="58"/>
    <w:bookmarkStart w:name="z443" w:id="59"/>
    <w:p>
      <w:pPr>
        <w:spacing w:after="0"/>
        <w:ind w:left="0"/>
        <w:jc w:val="both"/>
      </w:pPr>
      <w:r>
        <w:rPr>
          <w:rFonts w:ascii="Times New Roman"/>
          <w:b w:val="false"/>
          <w:i w:val="false"/>
          <w:color w:val="000000"/>
          <w:sz w:val="28"/>
        </w:rPr>
        <w:t>
      2. Структура и реквизитный состав классификатора типов изменений регистрационного досье лекарственного препарата приведены в таблице, в которой формируются следующие поля (графы):</w:t>
      </w:r>
    </w:p>
    <w:bookmarkEnd w:id="59"/>
    <w:bookmarkStart w:name="z444" w:id="60"/>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60"/>
    <w:bookmarkStart w:name="z445" w:id="61"/>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элемента, определяющий правила его формирования (заполнения), или словесное описание возможных значений элемента;</w:t>
      </w:r>
    </w:p>
    <w:bookmarkEnd w:id="61"/>
    <w:bookmarkStart w:name="z446" w:id="62"/>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62"/>
    <w:bookmarkStart w:name="z447" w:id="63"/>
    <w:p>
      <w:pPr>
        <w:spacing w:after="0"/>
        <w:ind w:left="0"/>
        <w:jc w:val="both"/>
      </w:pPr>
      <w:r>
        <w:rPr>
          <w:rFonts w:ascii="Times New Roman"/>
          <w:b w:val="false"/>
          <w:i w:val="false"/>
          <w:color w:val="000000"/>
          <w:sz w:val="28"/>
        </w:rPr>
        <w:t>
      Для указания множественности реквизитов передаваемых данных используются следующие обозначения:</w:t>
      </w:r>
    </w:p>
    <w:bookmarkEnd w:id="63"/>
    <w:bookmarkStart w:name="z448" w:id="64"/>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64"/>
    <w:bookmarkStart w:name="z449" w:id="65"/>
    <w:p>
      <w:pPr>
        <w:spacing w:after="0"/>
        <w:ind w:left="0"/>
        <w:jc w:val="both"/>
      </w:pPr>
      <w:r>
        <w:rPr>
          <w:rFonts w:ascii="Times New Roman"/>
          <w:b w:val="false"/>
          <w:i w:val="false"/>
          <w:color w:val="000000"/>
          <w:sz w:val="28"/>
        </w:rPr>
        <w:t>
      n – реквизит обязателен, должен повторяться n раз (n &gt; 1);</w:t>
      </w:r>
    </w:p>
    <w:bookmarkEnd w:id="65"/>
    <w:bookmarkStart w:name="z450" w:id="66"/>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66"/>
    <w:bookmarkStart w:name="z451" w:id="67"/>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67"/>
    <w:bookmarkStart w:name="z452" w:id="68"/>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68"/>
    <w:bookmarkStart w:name="z453" w:id="69"/>
    <w:p>
      <w:pPr>
        <w:spacing w:after="0"/>
        <w:ind w:left="0"/>
        <w:jc w:val="both"/>
      </w:pPr>
      <w:r>
        <w:rPr>
          <w:rFonts w:ascii="Times New Roman"/>
          <w:b w:val="false"/>
          <w:i w:val="false"/>
          <w:color w:val="000000"/>
          <w:sz w:val="28"/>
        </w:rPr>
        <w:t>
      0..1 – реквизит опционален, повторения не допускаются;</w:t>
      </w:r>
    </w:p>
    <w:bookmarkEnd w:id="69"/>
    <w:bookmarkStart w:name="z454" w:id="70"/>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70"/>
    <w:bookmarkStart w:name="z455" w:id="71"/>
    <w:p>
      <w:pPr>
        <w:spacing w:after="0"/>
        <w:ind w:left="0"/>
        <w:jc w:val="both"/>
      </w:pPr>
      <w:r>
        <w:rPr>
          <w:rFonts w:ascii="Times New Roman"/>
          <w:b w:val="false"/>
          <w:i w:val="false"/>
          <w:color w:val="000000"/>
          <w:sz w:val="28"/>
        </w:rPr>
        <w:t xml:space="preserve">
      0..m – реквизит опционален, может повторяться не более m раз (m &gt; 1).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457" w:id="72"/>
    <w:p>
      <w:pPr>
        <w:spacing w:after="0"/>
        <w:ind w:left="0"/>
        <w:jc w:val="left"/>
      </w:pPr>
      <w:r>
        <w:rPr>
          <w:rFonts w:ascii="Times New Roman"/>
          <w:b/>
          <w:i w:val="false"/>
          <w:color w:val="000000"/>
        </w:rPr>
        <w:t xml:space="preserve"> Структура и реквизитный состав классификатора типов изменений регистрационного досье лекарственного препарата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
        <w:gridCol w:w="69"/>
        <w:gridCol w:w="69"/>
        <w:gridCol w:w="69"/>
        <w:gridCol w:w="99"/>
        <w:gridCol w:w="1852"/>
        <w:gridCol w:w="4967"/>
        <w:gridCol w:w="4439"/>
        <w:gridCol w:w="6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73"/>
          <w:p>
            <w:pPr>
              <w:spacing w:after="20"/>
              <w:ind w:left="20"/>
              <w:jc w:val="both"/>
            </w:pPr>
            <w:r>
              <w:rPr>
                <w:rFonts w:ascii="Times New Roman"/>
                <w:b w:val="false"/>
                <w:i w:val="false"/>
                <w:color w:val="000000"/>
                <w:sz w:val="20"/>
              </w:rPr>
              <w:t>
Наименование реквизита</w:t>
            </w:r>
          </w:p>
          <w:bookmarkEnd w:id="73"/>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74"/>
          <w:p>
            <w:pPr>
              <w:spacing w:after="20"/>
              <w:ind w:left="20"/>
              <w:jc w:val="both"/>
            </w:pPr>
            <w:r>
              <w:rPr>
                <w:rFonts w:ascii="Times New Roman"/>
                <w:b w:val="false"/>
                <w:i w:val="false"/>
                <w:color w:val="000000"/>
                <w:sz w:val="20"/>
              </w:rPr>
              <w:t>
1. Сведения о типе изменения регистрационного досье лекарственного препарата</w:t>
            </w:r>
          </w:p>
          <w:bookmarkEnd w:id="74"/>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группы видов изменений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порядкового метода кодирования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группы видов изменений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словосочетания на русском языке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подгруппы видов изменений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1.3.1. Код подгруппы видов изменений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\d{4}</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порядкового метода кодирования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1.3.2. Наименование подгруппы видов изменений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словосочетания на русском языке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1.3.3. Вид изменения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изменения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\d{6}</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порядкового метода кодирования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изменения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словосочетания на русском языке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Обозначение</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обозначению изменения согласно приложению № 19 к Правилам регистрации и экспертизы лекарственных средств для медицинского применения, утвержденным Решением Совета Евразийской экономической комисии от 3 ноября 2017 г. № 78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 изменения регистрационного досье лекарственного препарата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двухсимвольный буквенный код типа изменения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выбирается одно значение из списка:</w:t>
            </w:r>
            <w:r>
              <w:br/>
            </w:r>
            <w:r>
              <w:rPr>
                <w:rFonts w:ascii="Times New Roman"/>
                <w:b w:val="false"/>
                <w:i w:val="false"/>
                <w:color w:val="000000"/>
                <w:sz w:val="20"/>
              </w:rPr>
              <w:t>
IA – незначимое изменение IA;</w:t>
            </w:r>
            <w:r>
              <w:br/>
            </w:r>
            <w:r>
              <w:rPr>
                <w:rFonts w:ascii="Times New Roman"/>
                <w:b w:val="false"/>
                <w:i w:val="false"/>
                <w:color w:val="000000"/>
                <w:sz w:val="20"/>
              </w:rPr>
              <w:t>
IA(НУ) – незначимое изменение IA, требующее немедленного уведомления;</w:t>
            </w:r>
            <w:r>
              <w:br/>
            </w:r>
            <w:r>
              <w:rPr>
                <w:rFonts w:ascii="Times New Roman"/>
                <w:b w:val="false"/>
                <w:i w:val="false"/>
                <w:color w:val="000000"/>
                <w:sz w:val="20"/>
              </w:rPr>
              <w:t>
IB – незначимое изменение типа IB;</w:t>
            </w:r>
            <w:r>
              <w:br/>
            </w:r>
            <w:r>
              <w:rPr>
                <w:rFonts w:ascii="Times New Roman"/>
                <w:b w:val="false"/>
                <w:i w:val="false"/>
                <w:color w:val="000000"/>
                <w:sz w:val="20"/>
              </w:rPr>
              <w:t>
II – значимое изменение;</w:t>
            </w:r>
            <w:r>
              <w:br/>
            </w:r>
            <w:r>
              <w:rPr>
                <w:rFonts w:ascii="Times New Roman"/>
                <w:b w:val="false"/>
                <w:i w:val="false"/>
                <w:color w:val="000000"/>
                <w:sz w:val="20"/>
              </w:rPr>
              <w:t>
PP – расширение регистрации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записи справочника (классификатора)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*.5.1. Дата начала действия</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*.5.2. Сведения об акте, регламентирующем начало действия записи справочника (классификатора)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*5.2.1. Вид акта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*.5.2.2. Номер акта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*.5.2.3. Дата акта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*.5.3. Дата окончания действия</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дате окончания действия, указанной </w:t>
            </w:r>
            <w:r>
              <w:br/>
            </w:r>
            <w:r>
              <w:rPr>
                <w:rFonts w:ascii="Times New Roman"/>
                <w:b w:val="false"/>
                <w:i w:val="false"/>
                <w:color w:val="000000"/>
                <w:sz w:val="20"/>
              </w:rPr>
              <w:t>в акте органа Евразийского экономического союза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*.5.4. Сведения об акте, регламентирующем окончание действия записи справочника (классификатора)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*.5.4.1. Вид акта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*.5.4.2. Номер акта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*.5.4.3. Дата акта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