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fe15" w14:textId="0c1f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металлопроката с полимерным покрытием, происходящего из Китайской Народной Республики и ввозимого на таможенную территорию Евразийского экономического союза, и признании утратившим силу Решения Коллегии Евразийской экономической комиссии от 11 мая 2017 г.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января 2018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рынка, подготовленного по результатам повторного расследования, проведенного в связи с истечением срока действия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мая 2012 г. № 49,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по 22 января 2023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мая 2012 г. № 49 в отношении ввозимого на таможенную территорию Евразийского экономического союза металлопроката с полимерным покрытием, происходящего из Китайской Народной Республики.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24 мая 2012 г. № 49 "О мерах по защите экономических интересов производителей металлопроката с полимерным покрытием в Таможенном союзе" следующие изменения: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"(КНР, провинция Ляонин, г. Аншань, район Кяньшань, 1 Кяньшань Роуд Уест)" заменить словами "(Angang Production Area, Tiexi District, Anshan City, Liaoning Province, China)";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"(КНР, провинция Ляонин, г. Дальян, Женпенг Индастриал Сити 1-4-5)" заменить словами "(Zhenpeng Industrial City 1-4-5, Dalian ETDZ, Liaoning Province, China)";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"(КНР, провинция Гуан, г. Шандонг, Женксинг Ист Роуд 389)" заменить словами "(No. 389, Zhenxing East Road, Guan County, Shandong, China)".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 государств – членов Евразийского экономического союза, уполномоченным в сфере таможенного дела: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взимание антидемпинговых пошлин в размере, предусмотренном Решением Коллегии Евразийской экономической комиссии от 24 мая 2012 г. № 49;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осуществление зачета сумм антидемпинговых пошлин, уплаченных (взысканных)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мая 2017 г. № 45 в порядке, установленном для взимания предварительных антидемпинговых пошлин, в антидемпинговые пошлины и зачисление на единый счет уполномоченного органа того государства – члена Евразийского экономического союза, в котором они были уплачены (взысканы).  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мая 2017 г. № 45 "О продлении действия антидемпинговой меры в отношении металлопроката с полимерным покрытием, происходящего из Китайской Народной Республики и ввозимого на таможенную территорию Евразийского экономического союза".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вступает в силу по истечении 30 календарных дней с даты его официального опубликования. 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