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ac47" w14:textId="a3ba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раздел 13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w:t>
      </w:r>
    </w:p>
    <w:p>
      <w:pPr>
        <w:spacing w:after="0"/>
        <w:ind w:left="0"/>
        <w:jc w:val="both"/>
      </w:pPr>
      <w:r>
        <w:rPr>
          <w:rFonts w:ascii="Times New Roman"/>
          <w:b w:val="false"/>
          <w:i w:val="false"/>
          <w:color w:val="000000"/>
          <w:sz w:val="28"/>
        </w:rPr>
        <w:t>Решение Коллегии Евразийской экономической комиссии от 23 января 2018 года № 12</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57 Договора о Евразийском экономическом союзе от 29 мая 2014 года и </w:t>
      </w:r>
      <w:r>
        <w:rPr>
          <w:rFonts w:ascii="Times New Roman"/>
          <w:b w:val="false"/>
          <w:i w:val="false"/>
          <w:color w:val="000000"/>
          <w:sz w:val="28"/>
        </w:rPr>
        <w:t>пунктом 20</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раздел 13</w:t>
      </w:r>
      <w:r>
        <w:rPr>
          <w:rFonts w:ascii="Times New Roman"/>
          <w:b w:val="false"/>
          <w:i w:val="false"/>
          <w:color w:val="000000"/>
          <w:sz w:val="28"/>
        </w:rPr>
        <w:t xml:space="preserve">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 мая 2010 г. № 299, изменение согласно приложению.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23 января 2018 г. № 12 </w:t>
            </w:r>
          </w:p>
        </w:tc>
      </w:tr>
    </w:tbl>
    <w:bookmarkStart w:name="z9" w:id="3"/>
    <w:p>
      <w:pPr>
        <w:spacing w:after="0"/>
        <w:ind w:left="0"/>
        <w:jc w:val="left"/>
      </w:pPr>
      <w:r>
        <w:rPr>
          <w:rFonts w:ascii="Times New Roman"/>
          <w:b/>
          <w:i w:val="false"/>
          <w:color w:val="000000"/>
        </w:rPr>
        <w:t xml:space="preserve"> ИЗМЕНЕНИЕ, </w:t>
      </w:r>
      <w:r>
        <w:br/>
      </w:r>
      <w:r>
        <w:rPr>
          <w:rFonts w:ascii="Times New Roman"/>
          <w:b/>
          <w:i w:val="false"/>
          <w:color w:val="000000"/>
        </w:rPr>
        <w:t xml:space="preserve">вносимое в раздел 13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w:t>
      </w:r>
    </w:p>
    <w:bookmarkEnd w:id="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13</w:t>
      </w:r>
      <w:r>
        <w:rPr>
          <w:rFonts w:ascii="Times New Roman"/>
          <w:b w:val="false"/>
          <w:i w:val="false"/>
          <w:color w:val="000000"/>
          <w:sz w:val="28"/>
        </w:rPr>
        <w:t xml:space="preserve"> главы II изложить в следующей редакции:  </w:t>
      </w:r>
    </w:p>
    <w:bookmarkStart w:name="z11" w:id="4"/>
    <w:p>
      <w:pPr>
        <w:spacing w:after="0"/>
        <w:ind w:left="0"/>
        <w:jc w:val="left"/>
      </w:pPr>
      <w:r>
        <w:rPr>
          <w:rFonts w:ascii="Times New Roman"/>
          <w:b/>
          <w:i w:val="false"/>
          <w:color w:val="000000"/>
        </w:rPr>
        <w:t xml:space="preserve"> "Раздел 13. Требования к некурительной табачной продукции, некурительным табачным изделиям и используемому для их производства табачному сырью  </w:t>
      </w:r>
    </w:p>
    <w:bookmarkEnd w:id="4"/>
    <w:bookmarkStart w:name="z12" w:id="5"/>
    <w:p>
      <w:pPr>
        <w:spacing w:after="0"/>
        <w:ind w:left="0"/>
        <w:jc w:val="left"/>
      </w:pPr>
      <w:r>
        <w:rPr>
          <w:rFonts w:ascii="Times New Roman"/>
          <w:b/>
          <w:i w:val="false"/>
          <w:color w:val="000000"/>
        </w:rPr>
        <w:t xml:space="preserve"> 1. Область применения   </w:t>
      </w:r>
    </w:p>
    <w:bookmarkEnd w:id="5"/>
    <w:bookmarkStart w:name="z13" w:id="6"/>
    <w:p>
      <w:pPr>
        <w:spacing w:after="0"/>
        <w:ind w:left="0"/>
        <w:jc w:val="both"/>
      </w:pPr>
      <w:r>
        <w:rPr>
          <w:rFonts w:ascii="Times New Roman"/>
          <w:b w:val="false"/>
          <w:i w:val="false"/>
          <w:color w:val="000000"/>
          <w:sz w:val="28"/>
        </w:rPr>
        <w:t>
      1. Настоящий раздел устанавливает требования к некурительной табачной продукции, некурительным табачным изделиям (в том числе к табаку жевательному, табаку нюхательному, табаку сосательному (снюсу)) и используемому для их производства табачному сырью, классифицируемым в товарных позициях 2401 и 2403 ТН ВЭД ЕАЭС.</w:t>
      </w:r>
    </w:p>
    <w:bookmarkEnd w:id="6"/>
    <w:bookmarkStart w:name="z14" w:id="7"/>
    <w:p>
      <w:pPr>
        <w:spacing w:after="0"/>
        <w:ind w:left="0"/>
        <w:jc w:val="left"/>
      </w:pPr>
      <w:r>
        <w:rPr>
          <w:rFonts w:ascii="Times New Roman"/>
          <w:b/>
          <w:i w:val="false"/>
          <w:color w:val="000000"/>
        </w:rPr>
        <w:t xml:space="preserve"> 2. Определения</w:t>
      </w:r>
    </w:p>
    <w:bookmarkEnd w:id="7"/>
    <w:bookmarkStart w:name="z15" w:id="8"/>
    <w:p>
      <w:pPr>
        <w:spacing w:after="0"/>
        <w:ind w:left="0"/>
        <w:jc w:val="both"/>
      </w:pPr>
      <w:r>
        <w:rPr>
          <w:rFonts w:ascii="Times New Roman"/>
          <w:b w:val="false"/>
          <w:i w:val="false"/>
          <w:color w:val="000000"/>
          <w:sz w:val="28"/>
        </w:rPr>
        <w:t xml:space="preserve">
      2. Для целей настоящего раздела используются понятия, которые означают следующее: </w:t>
      </w:r>
    </w:p>
    <w:bookmarkEnd w:id="8"/>
    <w:bookmarkStart w:name="z16" w:id="9"/>
    <w:p>
      <w:pPr>
        <w:spacing w:after="0"/>
        <w:ind w:left="0"/>
        <w:jc w:val="both"/>
      </w:pPr>
      <w:r>
        <w:rPr>
          <w:rFonts w:ascii="Times New Roman"/>
          <w:b w:val="false"/>
          <w:i w:val="false"/>
          <w:color w:val="000000"/>
          <w:sz w:val="28"/>
        </w:rPr>
        <w:t>
      "ингредиент"  вещество (за исключением табачного листа и других частей табака), используемое при производстве некурительного табачного изделия и присутствующее в готовом некурительном табачном изделии, в том числе в измененной форме;</w:t>
      </w:r>
    </w:p>
    <w:bookmarkEnd w:id="9"/>
    <w:bookmarkStart w:name="z17" w:id="10"/>
    <w:p>
      <w:pPr>
        <w:spacing w:after="0"/>
        <w:ind w:left="0"/>
        <w:jc w:val="both"/>
      </w:pPr>
      <w:r>
        <w:rPr>
          <w:rFonts w:ascii="Times New Roman"/>
          <w:b w:val="false"/>
          <w:i w:val="false"/>
          <w:color w:val="000000"/>
          <w:sz w:val="28"/>
        </w:rPr>
        <w:t xml:space="preserve">
      "некурительная табачная продукция"  некурительное табачное изделие, упакованное в потребительскую упаковку; </w:t>
      </w:r>
    </w:p>
    <w:bookmarkEnd w:id="10"/>
    <w:bookmarkStart w:name="z18" w:id="11"/>
    <w:p>
      <w:pPr>
        <w:spacing w:after="0"/>
        <w:ind w:left="0"/>
        <w:jc w:val="both"/>
      </w:pPr>
      <w:r>
        <w:rPr>
          <w:rFonts w:ascii="Times New Roman"/>
          <w:b w:val="false"/>
          <w:i w:val="false"/>
          <w:color w:val="000000"/>
          <w:sz w:val="28"/>
        </w:rPr>
        <w:t>
      "некурительное табачное изделие"  табачное изделие, предназначенное для сосания, жевания, нюханья;</w:t>
      </w:r>
    </w:p>
    <w:bookmarkEnd w:id="11"/>
    <w:bookmarkStart w:name="z19" w:id="12"/>
    <w:p>
      <w:pPr>
        <w:spacing w:after="0"/>
        <w:ind w:left="0"/>
        <w:jc w:val="both"/>
      </w:pPr>
      <w:r>
        <w:rPr>
          <w:rFonts w:ascii="Times New Roman"/>
          <w:b w:val="false"/>
          <w:i w:val="false"/>
          <w:color w:val="000000"/>
          <w:sz w:val="28"/>
        </w:rPr>
        <w:t>
      "табак"  растение рода Nicotiana семейства пасленовых видов Nicotiana Tabacum и Nicotiana Rustica, возделываемое в целях получения табачного сырья;</w:t>
      </w:r>
    </w:p>
    <w:bookmarkEnd w:id="12"/>
    <w:bookmarkStart w:name="z20" w:id="13"/>
    <w:p>
      <w:pPr>
        <w:spacing w:after="0"/>
        <w:ind w:left="0"/>
        <w:jc w:val="both"/>
      </w:pPr>
      <w:r>
        <w:rPr>
          <w:rFonts w:ascii="Times New Roman"/>
          <w:b w:val="false"/>
          <w:i w:val="false"/>
          <w:color w:val="000000"/>
          <w:sz w:val="28"/>
        </w:rPr>
        <w:t>
      "табак жевательный"  вид некурительного табачного изделия, предназначенного для жевания и изготовленного из спрессованных обрывков табачных листьев с добавлением или без добавления нетабачного сырья и иных ингредиентов;</w:t>
      </w:r>
    </w:p>
    <w:bookmarkEnd w:id="13"/>
    <w:bookmarkStart w:name="z21" w:id="14"/>
    <w:p>
      <w:pPr>
        <w:spacing w:after="0"/>
        <w:ind w:left="0"/>
        <w:jc w:val="both"/>
      </w:pPr>
      <w:r>
        <w:rPr>
          <w:rFonts w:ascii="Times New Roman"/>
          <w:b w:val="false"/>
          <w:i w:val="false"/>
          <w:color w:val="000000"/>
          <w:sz w:val="28"/>
        </w:rPr>
        <w:t>
      "табак нюхательный"  вид некурительного табачного изделия, предназначенного для нюханья и изготовленного из тонкоизмельченного табака с добавлением или без добавления нетабачного сырья и иных ингредиентов;</w:t>
      </w:r>
    </w:p>
    <w:bookmarkEnd w:id="14"/>
    <w:bookmarkStart w:name="z22" w:id="15"/>
    <w:p>
      <w:pPr>
        <w:spacing w:after="0"/>
        <w:ind w:left="0"/>
        <w:jc w:val="both"/>
      </w:pPr>
      <w:r>
        <w:rPr>
          <w:rFonts w:ascii="Times New Roman"/>
          <w:b w:val="false"/>
          <w:i w:val="false"/>
          <w:color w:val="000000"/>
          <w:sz w:val="28"/>
        </w:rPr>
        <w:t>
      "табак сосательный (снюс)"  вид некурительного табачного изделия, предназначенного для сосания и полностью или частично изготовленного из очищенной табачной пыли и (или) мелкой фракции резаного табака с добавлением или без добавления нетабачного сырья и иных ингредиентов;</w:t>
      </w:r>
    </w:p>
    <w:bookmarkEnd w:id="15"/>
    <w:bookmarkStart w:name="z23" w:id="16"/>
    <w:p>
      <w:pPr>
        <w:spacing w:after="0"/>
        <w:ind w:left="0"/>
        <w:jc w:val="both"/>
      </w:pPr>
      <w:r>
        <w:rPr>
          <w:rFonts w:ascii="Times New Roman"/>
          <w:b w:val="false"/>
          <w:i w:val="false"/>
          <w:color w:val="000000"/>
          <w:sz w:val="28"/>
        </w:rPr>
        <w:t>
      "табачное изделие"  продукт, полностью или частично изготовленный из табачного листа и (или) других частей табака в качестве сырьевого материала, приготовленный таким образом, чтобы использовать его для сосания, жевания или нюханья;</w:t>
      </w:r>
    </w:p>
    <w:bookmarkEnd w:id="16"/>
    <w:bookmarkStart w:name="z24" w:id="17"/>
    <w:p>
      <w:pPr>
        <w:spacing w:after="0"/>
        <w:ind w:left="0"/>
        <w:jc w:val="both"/>
      </w:pPr>
      <w:r>
        <w:rPr>
          <w:rFonts w:ascii="Times New Roman"/>
          <w:b w:val="false"/>
          <w:i w:val="false"/>
          <w:color w:val="000000"/>
          <w:sz w:val="28"/>
        </w:rPr>
        <w:t>
      "табачное сырье"  табак, прошедший послеуборочную и (или) иную промышленную обработку и используемый при производстве некурительной табачной продукции.</w:t>
      </w:r>
    </w:p>
    <w:bookmarkEnd w:id="17"/>
    <w:bookmarkStart w:name="z25" w:id="18"/>
    <w:p>
      <w:pPr>
        <w:spacing w:after="0"/>
        <w:ind w:left="0"/>
        <w:jc w:val="left"/>
      </w:pPr>
      <w:r>
        <w:rPr>
          <w:rFonts w:ascii="Times New Roman"/>
          <w:b/>
          <w:i w:val="false"/>
          <w:color w:val="000000"/>
        </w:rPr>
        <w:t xml:space="preserve"> 3. Санитарно-эпидемиологические и гигиенические требования  </w:t>
      </w:r>
    </w:p>
    <w:bookmarkEnd w:id="18"/>
    <w:bookmarkStart w:name="z26" w:id="19"/>
    <w:p>
      <w:pPr>
        <w:spacing w:after="0"/>
        <w:ind w:left="0"/>
        <w:jc w:val="both"/>
      </w:pPr>
      <w:r>
        <w:rPr>
          <w:rFonts w:ascii="Times New Roman"/>
          <w:b w:val="false"/>
          <w:i w:val="false"/>
          <w:color w:val="000000"/>
          <w:sz w:val="28"/>
        </w:rPr>
        <w:t xml:space="preserve">
      3. При производстве некурительной табачной продукции и некурительных табачных изделий не допускается использование в качестве ингредиентов следующих веществ: </w:t>
      </w:r>
    </w:p>
    <w:bookmarkEnd w:id="19"/>
    <w:bookmarkStart w:name="z27" w:id="20"/>
    <w:p>
      <w:pPr>
        <w:spacing w:after="0"/>
        <w:ind w:left="0"/>
        <w:jc w:val="both"/>
      </w:pPr>
      <w:r>
        <w:rPr>
          <w:rFonts w:ascii="Times New Roman"/>
          <w:b w:val="false"/>
          <w:i w:val="false"/>
          <w:color w:val="000000"/>
          <w:sz w:val="28"/>
        </w:rPr>
        <w:t>
      а) агарициновая кислота (Acidum agarricinicum), березовое дегтярное масло (Oleum Betulae empyreumaticum), масло горького миндаля (Oleum Amygdalarum amarum) с содержанием свободной или связанной синильной кислоты, масло сассафраса (Oleum Sassafratis), можжевельниковое дегтярное масло (Oleum Juniperi empyreumaticum), камфорное масло (Oleum camphoratum), камфора, кумарин, сафлор, туйон;</w:t>
      </w:r>
    </w:p>
    <w:bookmarkEnd w:id="20"/>
    <w:bookmarkStart w:name="z28" w:id="21"/>
    <w:p>
      <w:pPr>
        <w:spacing w:after="0"/>
        <w:ind w:left="0"/>
        <w:jc w:val="both"/>
      </w:pPr>
      <w:r>
        <w:rPr>
          <w:rFonts w:ascii="Times New Roman"/>
          <w:b w:val="false"/>
          <w:i w:val="false"/>
          <w:color w:val="000000"/>
          <w:sz w:val="28"/>
        </w:rPr>
        <w:t>
      б) вещества, оборот которых запрещен в соответствии с международными договорами в рамках Союза;</w:t>
      </w:r>
    </w:p>
    <w:bookmarkEnd w:id="21"/>
    <w:bookmarkStart w:name="z29" w:id="22"/>
    <w:p>
      <w:pPr>
        <w:spacing w:after="0"/>
        <w:ind w:left="0"/>
        <w:jc w:val="both"/>
      </w:pPr>
      <w:r>
        <w:rPr>
          <w:rFonts w:ascii="Times New Roman"/>
          <w:b w:val="false"/>
          <w:i w:val="false"/>
          <w:color w:val="000000"/>
          <w:sz w:val="28"/>
        </w:rPr>
        <w:t>
      в) ароматические и вкусовые вещества, изготовленные из древесного стебля паслена горько-сладкого (Stipites Dulcamarae), травы пулегиевой мяты (блошной мяты) (Herba Pulegii), лиатрисы пахучей (Liatris odoratissima), камфорного дерева (Camphorae), корневища многоножки обыкновенной (Rhizoma Polypodii), корневища папоротника (Rhizoma Filicis dulcis), древесины квассии (Lignum Quassiae), коры мыльного дерева (Cortex Quillaja), травы пижмы (Herba Tanaceti), травы руты (Herba Rutae), стебля, листьев, коры сассафраса (Stipes, Folium, Cortex Sassafratis), донника лекарственного (Millilotus officinalis), бобов тонка (Semen Toncae), ясменника (Asperula odorata).</w:t>
      </w:r>
    </w:p>
    <w:bookmarkEnd w:id="22"/>
    <w:bookmarkStart w:name="z30" w:id="23"/>
    <w:p>
      <w:pPr>
        <w:spacing w:after="0"/>
        <w:ind w:left="0"/>
        <w:jc w:val="both"/>
      </w:pPr>
      <w:r>
        <w:rPr>
          <w:rFonts w:ascii="Times New Roman"/>
          <w:b w:val="false"/>
          <w:i w:val="false"/>
          <w:color w:val="000000"/>
          <w:sz w:val="28"/>
        </w:rPr>
        <w:t>
      4. Не допускается использование в качестве ингредиентов для табака сосательного (снюса) и табака жевательного иных веществ, кроме пищевых продуктов, пищевых добавок и ароматизаторов, разрешенных для использования в пищевых продуктах.</w:t>
      </w:r>
    </w:p>
    <w:bookmarkEnd w:id="23"/>
    <w:bookmarkStart w:name="z31" w:id="24"/>
    <w:p>
      <w:pPr>
        <w:spacing w:after="0"/>
        <w:ind w:left="0"/>
        <w:jc w:val="both"/>
      </w:pPr>
      <w:r>
        <w:rPr>
          <w:rFonts w:ascii="Times New Roman"/>
          <w:b w:val="false"/>
          <w:i w:val="false"/>
          <w:color w:val="000000"/>
          <w:sz w:val="28"/>
        </w:rPr>
        <w:t xml:space="preserve">
      5. Ингредиенты, используемые в качестве ароматизаторов, соусов, экстрактов для табака сосательного (снюса) и табака жевательного, должны соответствовать по содержанию тяжелых металлов и пестицидов требованиям </w:t>
      </w:r>
      <w:r>
        <w:rPr>
          <w:rFonts w:ascii="Times New Roman"/>
          <w:b w:val="false"/>
          <w:i w:val="false"/>
          <w:color w:val="000000"/>
          <w:sz w:val="28"/>
        </w:rPr>
        <w:t>раздела 1</w:t>
      </w:r>
      <w:r>
        <w:rPr>
          <w:rFonts w:ascii="Times New Roman"/>
          <w:b w:val="false"/>
          <w:i w:val="false"/>
          <w:color w:val="000000"/>
          <w:sz w:val="28"/>
        </w:rPr>
        <w:t xml:space="preserve"> настоящей главы.</w:t>
      </w:r>
    </w:p>
    <w:bookmarkEnd w:id="24"/>
    <w:bookmarkStart w:name="z32" w:id="25"/>
    <w:p>
      <w:pPr>
        <w:spacing w:after="0"/>
        <w:ind w:left="0"/>
        <w:jc w:val="both"/>
      </w:pPr>
      <w:r>
        <w:rPr>
          <w:rFonts w:ascii="Times New Roman"/>
          <w:b w:val="false"/>
          <w:i w:val="false"/>
          <w:color w:val="000000"/>
          <w:sz w:val="28"/>
        </w:rPr>
        <w:t xml:space="preserve">
      6. Предельно допустимые уровни содержания пестицидов в табачном сырье предусмотрены </w:t>
      </w:r>
      <w:r>
        <w:rPr>
          <w:rFonts w:ascii="Times New Roman"/>
          <w:b w:val="false"/>
          <w:i w:val="false"/>
          <w:color w:val="000000"/>
          <w:sz w:val="28"/>
        </w:rPr>
        <w:t>разделом 15</w:t>
      </w:r>
      <w:r>
        <w:rPr>
          <w:rFonts w:ascii="Times New Roman"/>
          <w:b w:val="false"/>
          <w:i w:val="false"/>
          <w:color w:val="000000"/>
          <w:sz w:val="28"/>
        </w:rPr>
        <w:t xml:space="preserve"> настоящей главы.".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