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cee0" w14:textId="424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– членов Евразийского экономического союза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основные ориентиры макроэкономической политики государств – членов Евразийского экономического союза на 2018 – 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Рекомендовать правительствам государств –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– членов Евразийского экономического союза на 2018 – 2019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Евразийской экономической комиссии проводить анализ мер, реализуемых государствами – членами Евразийского экономического союза в области макроэкономической политики, и оценивать соответствие таких мер утвержденным настоящим Решением основным ориентирам макроэкономической политики государств – членов Евразийского экономического союза на 2018 – 2019 годы.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2018 г. № 11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 xml:space="preserve">макроэкономической политики государств – членов Евразийского экономического союза на 2018 – 2019 годы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направлен на достижение целей, установленных Основными направлениями экономического развития Евразийского экономического союза, утвержденными Решением Высшего Евразийского экономического совета от 16 октября 2015 г. № 28, а также на решение задач, определенных стратегическими и программными документами государств – членов Евразийского экономического союза (далее соответственно – государства-члены, Союз).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Решением Высшего Евразийского экономического совета от 14 апреля 2017 г. № 7 </w:t>
      </w:r>
      <w:r>
        <w:rPr>
          <w:rFonts w:ascii="Times New Roman"/>
          <w:b w:val="false"/>
          <w:i w:val="false"/>
          <w:color w:val="000000"/>
          <w:sz w:val="28"/>
        </w:rPr>
        <w:t>основные ориентиры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макроэкономической политики государств – членов Евразийского экономического союза на 2017 – 2018 годы учитывались государствами-членами при проведении макроэкономической политики, что способствовало преодолению последствий влияния негативных внешних факторов предыдущих лет и улучшению ситуации в национальных экономиках.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снижения экономической активности в Союзе в 2015 – 2016 годах в 2017 году наблюдалось ее постепенное восстановление. На фоне роста потребительского спроса и умеренного повышения цен на основные экспортные товары государств-членов в целом по Союзу наблюдались рост выпуска продукции в промышленном и агропромышленном производстве, увеличение объемов грузоперевозок и оборота розничной торговли.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проведения правительствами и национальными (центральными) банками государств-членов активной экономической политики на фоне некоторого улучшения внешних и внутренних условий все государства-члены достигли положительных темпов экономического роста. При этом темпы роста экономик Республики Армения, Республики Казахстан и Кыргызской Республики оказались выше среднемировых значений.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гибкости обменных курсов национальных валют обеспечило государствам-членам внешнюю сбалансированность и способствовало повышению конкурентоспособности их экспорта. Существенно вырос объем внешней торговли товарами, при этом экспортная и импортная составляющие растут сопоставимыми темпами. Еще более значительным явилось увеличение объема взаимной торговли товарами в рамках Союза, где более высокими темпами рос экспорт продукции средне- и высокотехнологичных производств.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позитивных экономических результатов в значительной степени способствовало улучшение макроэкономической ситуации в Союзе. В результате реализации эффективных национальных антиинфляционных мер и учета рекомендаций Евразийской экономической комиссии (далее – Комиссия), направленных на снижение уровня инфляции в Республике Беларусь, Республике Казахстан и Российской Федерации, темпы роста потребительских цен в указанных странах были снижены. В то же время Республика Армения и Кыргызская Республика преодолели дефляцию вследствие реализации стимулирующей денежно-кредитной политики и восстановления потребительского спроса. В результате реализации комплекса мер на национальном и интеграционном уровнях впервые за период существования Союза зафиксировано соблюдение всеми государствами-членами предельного расчетного количественного значения показателя инфляции (индекса потребительских цен), установленного Договором. В дальнейшем государства-члены продолжат направлять усилия на поддержание инфляции на стабильно низком уровне с целью создания благоприятных условий для экономического развития.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сфере в 2017 году наблюдалось улучшение показателей в большинстве государств-членов. В Республике Армения, Кыргызской Республике и Российской Федерации зафиксировано сокращение дефицита консолидированного бюджета сектора государственного управления, в Республике Беларусь консолидированный бюджет исполнен с профицитом. Вместе с тем, по оценке Комиссии, по итогам 2017 года существует риск превышения Республикой Армения, Республикой Казахстан и Кыргызской Республикой установленного Договором количественного значения дефицита консолидированного бюджета сектора государственного управления. Кроме того, Республика Армения и Кыргызская Республика могут превысить установленное Договором значение показателя долга сектора государственного управления, рост которого был обусловлен необходимостью финансирования дефицита консолидированного бюджета сектора государственного управления и инвестиционных проектов.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государствами-членами текущей бюджетной сбалансированности и долгосрочной устойчивости государственных финансов является необходимым условием для проведения последовательной экономической политики, направленной на экономическое развитие.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фактором поддержания позитивной экономической динамики, позволяющим привлечь дополнительные ресурсы в экономику и увеличить доходную составляющую государственного бюджета, становится стимулирование инвестиционной активности. В 2017 году в государствах-членах наметился рост инвестирования в основной капитал, однако государственное финансирование инвестиционных проектов в реальном секторе оставалось на высоком уровне, что увеличивало нагрузку на государственные бюджеты. Необходимо проводить активную политику, направленную на стимулирование привлечения частных инвестиций в экономики государств-членов в первую очередь за счет улучшения делового климата в Союзе.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фоне стабилизации макроэкономической ситуации в государствах-членах и улучшения условий торговли становится особенно важным использовать "окно возможностей" и предпринять усилия по модернизации экономики и повышению производительности в реальном секторе. Цифровая трансформация экономики, разработка и внедрение новых технологий, развитие человеческого капитала и инфраструктуры будут способствовать наращиванию производственного потенциала государств-членов, повышению прибыльности реального сектора и доходов государственного бюджета, росту благосостояния населения и конкурентоспособности государств-членов на международном уровне.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Развивая производственный потенциал и повышая эффективность производства необходимо учитывать, что возможности внутреннего спроса в каждом государстве-члене ограничены и увеличение производительности необходимо поддерживать посредством укрепления внешнеторговых связей и развития внутреннего рынка Союза, что позволит обеспечить новые возможности для развития несырьевого экспорта и расширения экспортной специализации государств-членов.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внешних условий на развитие экономик государств-членов в 2018 – 2019 годах будет в основном обусловлено вероятным ускорением темпов роста мировой экономики и воздействием динамики цен на сырьевых рынках на экономическую ситуацию. В этот период Международный валютный фонд прогнозирует ежегодный рост мировой экономики на уровне 3,9 процента. В соответствии с прогнозными оценками Всемирного банка также предполагается, что мировая экономика будет расти более высокими темпами, чем в 2017 году. Риски дестабилизирующего влияния изменения сырьевых цен сохранятся в связи с сохранением структурных ограничений в экономиках государств-членов.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целями экономической политики на среднесрочный период в этих условиях становятся активизация процесса восстановления экономического роста и создание базиса для устойчивого экономического развития государств-членов.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основными ориентирами макроэкономической политики государств-членов на 2018 – 2019 годы будут стремление к достижению в среднесрочном периоде темпов экономического роста в Союзе не ниже 2 процентов и поддержание показателей инфляции вблизи либо в пределах национальных ориентиров.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намеченных макроэкономических ориентиров предусматривает реализацию национальных и интеграционных мер по следующим направлениям.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макроэкономических условий, в том числе: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ценовой стабильности;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доверия к политике национальных (центральных) банков государств-членов с целью снижения инфляционных ожиданий;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Комиссией рекомендаций, направленных на снижение дефицита консолидированного бюджета и долга сектора государственного управления, в случае превышения государствами-членами количественных значений указанных макроэкономических показателей;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подходов к снижению зависимости государственных финансов от циклических колебаний экономики и внешнеэкономической конъюнктуры, в том числе путем совершенствования бюджетных правил государств-членов;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среднесрочной перспективе постепенной бюджетной консолидации;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государствами-членами мер по обеспечению долговой устойчивости государственных финансов.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инвестиционной активности и улучшение делового климата,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среднесрочном периоде налоговой нагрузки на хозяйствующие субъекты государств-членов на стабильном и экономически обоснованном уровне;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эффективных налоговых льгот, вычетов и других механизмов, направленных на стимулирование инвестиционной активности;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правового регулирования и внедрение в практику эффективных и взаимовыгодных механизмов привлечения частного капитала к реализации государственных проектов, в том числе на основе принципов государственно-частного партнерства;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коллективного и венчурного инвестирования в целях улучшения финансовых возможностей малого и среднего бизнеса;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возможностей повышения доступности долгосрочных кредитных ресурсов, в том числе с привлечением инвестиций национальных и региональных институтов развития;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институциональной среды для ведения бизнеса.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повышения производительности в реальном секторе экономики,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реализация государствами-членами стратегических и программных документов, направленных на повышение производительности;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опережающего развития высокотехнологичных отраслей обрабатывающей промышленности;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реализации структурных преобразований в экономиках государств-членов;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процессов модернизации и внедрения инновационных продуктов и технологий в реальном секторе;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цифровой повестки Союза и внедрение цифровых технологий в различные сферы экономик государств-членов;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межгосударственных программ и проектов в промышленной сфере с участием государств-членов;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возможностей профессионального обучения и переобучения, повышения квалификации трудящихся в целях улучшения качества трудовых ресурсов и роста эффективной занятости;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в сфере трудовой и академической мобильности в рамках Союза.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внешнеторговых связей и развитие внутреннего рынка Союза,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работы по выявлению и поэтапному устранению барьеров, а также сокращению изъятий и ограничений на внутреннем рынке Союза;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операций, совершаемых на таможенной границе Союза в отношении товаров, перемещаемых участниками внешнеэкономической деятельности, путем обеспечения эффективного таможенного и иных видов контроля;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рамках Союза единых рынков услуг в секторах и в сроки, которые установлены решениями Высшего Евразийского экономического совета;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транспортно-логистического потенциала Союза и использование его транзитных возможностей;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интенсификации торгово-экономического сотрудничества с третьими сторонами с целью расширения экспортных возможностей;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взаимодействия с международными организациями и другими интеграционными объединениями в экономической сфере.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