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263d" w14:textId="56e2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взаимовыгодных направлений кооперационного сотрудничества государств – членов Евразийского экономического союза с учетом целесообразности финансирования соответствующих проектов Евразийским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3 марта 2017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 г. № 9, и пункта 9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осуществлять кооперационное сотрудничество в соответствии с взаимовыгодными направлениями по перечню согласно приложению.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2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взаимовыгодных направлений кооперационного сотрудничества государств – членов Евразийского экономического союза с учетом целесообразности финансирования соответствующих проектов Евразийским банком развития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Металлургическое производство и производств о готовых металлических изделий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Химическая промышленность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Производство бумаги, бумажной продукции и издательская деятельность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Обработка древесины и производство изделий из дерева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Производство машин и оборудования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Производство электрооборудования, электронного и оптического оборудования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Производство резиновых и пластмассовых изделий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Легкая промышленность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