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38e2" w14:textId="3a93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приоритетных направлений сотрудничества государств-членов Евразийского экономического союза в целях ускорения технологической модернизации и повышения инновационной активности организаций государств-членов с учетом прикладных и фундаментальных исследований, проводимых государствами-членами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28 февраля 2017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 пунктом 22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актов и мероприятий по реализации Основных направлений промышленного сотрудничества в рамках Евразийского экономического союза, утвержденного Решением Совета Евразийской экономической комиссии от 17 марта 2016 г. № 17,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концентрации научных, материальных и финансовых ресурсов для совместной реализации наиболее значимых направлений инновационного развития государств – членов Евразийского экономического союза (далее – государства-члены),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эффективного использования результатов прикладных и фундаментальных исследований, проводимых государствами-членами,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взаимовыгодного сотрудничества государств-членов в целях повышения технологической модернизации и инновационной активности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 использовать перечень приоритетных направлений сотрудничества государств – членов Евразийского экономического союза в целях ускорения технологической модернизации и повышения инновационной активности организаций государств-членов с учетом прикладных и фундаментальных исследований, проводимых государствами-членами, согласно приложению.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2017 г. № 5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приоритетных направлений сотрудничества государств–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Евразийского экономического союза в целях ускорения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технологической модернизации и повышения инновационной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активности организаций государств-членов с учетом прикладных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фундаментальных исследований, проводимых государствами-членами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Формирование развитых информационно-телекоммуникационных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Разработка и внедрение материалов со специальными свойствами (в первую очередь композиционных материалов, наноматериалов и высокочистых веществ).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Переход от микроэлектроники к наноэлектронике и оптоэлектронике, квантовым компьютерам, разработка материалов, технологий и специального технологического оборудования для производства изделий для наноэлектроники, наносистемной и микросистемной техники, твердотельной электроники.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Развитие лазерных технологий (включая сферы обработки и модификации материалов, оптической информатики, связи, навигации и медицины).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Развитие физической электроники (в том числе разработка методов генерации, приема и преобразования электромагнитных волн с помощью твердотельных и вакуумных устройств, акустоэлектроника, релятивистская СВЧ-электроника больших мощностей, физика мощных пучков заряженных частиц).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Применение в технологических процессах физики плазмы (включая физику высокотемпературной плазмы и управляемого термоядерного синтеза, физику астрофизической плазмы, физику низкотемпературной плазмы).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Развитие волнового машиностроения и волновых технологий (включая создание основы проектирования волновых машин и аппаратов, управление волновыми машинами и аппаратами, нелинейную волновую механику, биомеханические волновые процессы в системе «человек –  машина – среда»).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Разработка нового поколения противовирусных, антибактериальных и противогрибковых лекарственных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Разработка интегрированных инженерных программных платформ и развитие сред проектирования и управления жизненным циклом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Развитие систем числового программного управления для высокотехнологичных средств производства (станков, промышленных роботов и т. 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Разработка средств производства (в том числе продукции станкоинструментальной отрасли), соответствующих требованиям и технологическим стандартам «Индустрии 4.0».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Развитие ресурсо-энергосберегающих технологий, технологий возобновляемых источников энергии, электротехнических устройств с использованием технологий сверхпроводимости, применяемых при создании энергообъектов.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Разработка новых препаратов и методов лечения раковых заболеваний, в том числе с использованием стволовых клеток.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Развитие электротранспорта, включая создание производства и сети зарядных и сервисных станций.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Разработка принципиально новых устройств и машин на основе многоконтурных рычажных механизмов высоких классов.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Проектирование новых видов податливых механизмов и развитие методов анализа и синтеза податливых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Разработка и внедрение биотехнологий для здравоохранения, сельского хозяйства, охраны окружающей среды, пищевой и перерабатывающей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Разработка новых технологий получения штаммов-продуцентов биопрепаратов, в том числе ферментов, заквасок, биологически активных добавок, пробиотиков, пищевых (кормовых) добавок и аминокислот.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Развитие коллекции микроорганизмов, культур растительных и животных клеток, генетических и генно-инженерных материалов для сохранения биологического разнообразия и обеспечения ресурсной базы биотехнологий.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