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38e2" w14:textId="3a93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приоритетных направлений сотрудничества государств-членов Евразийского экономического союза в целях ускорения технологической модернизации и повышения инновационной активности организаций государств-членов с учетом прикладных и фундаментальных исследований, проводимых государствами-членами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28 февраля 2017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 пунктом 22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актов и мероприятий по реализации Основных направлений промышленного сотрудничества в рамках Евразийского экономического союза, утвержденного Решением Совета Евразийской экономической комиссии от 17 марта 2016 г. № 17,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концентрации научных, материальных и финансовых ресурсов для совместной реализации наиболее значимых направлений инновационного развития государств – членов Евразийского экономического союза (далее – государства-члены),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эффективного использования результатов прикладных и фундаментальных исследований, проводимых государствами-членами,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взаимовыгодного сотрудничества государств-членов в целях повышения технологической модернизации и инновационной активности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 использовать перечень приоритетных направлений сотрудничества государств – членов Евразийского экономического союза в целях ускорения технологической модернизации и повышения инновационной активности организаций государств-членов с учетом прикладных и фундаментальных исследований, проводимых государствами-членами, согласно приложению.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2017 г. № 5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направлений сотрудничества государств–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Евразийского экономического союза в целях ускорения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технологической модернизации и повышения инновационной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активности организаций государств-членов с учетом прикладных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фундаментальных исследований, проводимых государствами-членами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Формирование развитых информационно-телекоммуникационных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 и внедрение материалов со специальными свойствами (в первую очередь композиционных материалов, наноматериалов и высокочистых веществ).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Переход от микроэлектроники к наноэлектронике и оптоэлектронике, квантовым компьютерам, разработка материалов, технологий и специального технологического оборудования для производства изделий для наноэлектроники, наносистемной и микросистемной техники, твердотельной электроники.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Развитие лазерных технологий (включая сферы обработки и модификации материалов, оптической информатики, связи, навигации и медицины).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Развитие физической электроники (в том числе разработка методов генерации, приема и преобразования электромагнитных волн с помощью твердотельных и вакуумных устройств, акустоэлектроника, релятивистская СВЧ-электроника больших мощностей, физика мощных пучков заряженных частиц).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Применение в технологических процессах физики плазмы (включая физику высокотемпературной плазмы и управляемого термоядерного синтеза, физику астрофизической плазмы, физику низкотемпературной плазмы).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Развитие волнового машиностроения и волновых технологий (включая создание основы проектирования волновых машин и аппаратов, управление волновыми машинами и аппаратами, нелинейную волновую механику, биомеханические волновые процессы в системе «человек –  машина – среда»).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Разработка нового поколения противовирусных, антибактериальных и противогрибковых лекарственных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Разработка интегрированных инженерных программных платформ и развитие сред проектирования и управления жизненным циклом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Развитие систем числового программного управления для высокотехнологичных средств производства (станков, промышленных роботов и т. 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Разработка средств производства (в том числе продукции станкоинструментальной отрасли), соответствующих требованиям и технологическим стандартам «Индустрии 4.0».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Развитие ресурсо-энергосберегающих технологий, технологий возобновляемых источников энергии, электротехнических устройств с использованием технологий сверхпроводимости, применяемых при создании энергообъектов.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Разработка новых препаратов и методов лечения раковых заболеваний, в том числе с использованием стволовых клеток.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Развитие электротранспорта, включая создание производства и сети зарядных и сервисных 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Разработка принципиально новых устройств и машин на основе многоконтурных рычажных механизмов высоких классов.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Проектирование новых видов податливых механизмов и развитие методов анализа и синтеза податливых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Разработка и внедрение биотехнологий для здравоохранения, сельского хозяйства, охраны окружающей среды, пищевой и перерабатывающей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Разработка новых технологий получения штаммов-продуцентов биопрепаратов, в том числе ферментов, заквасок, биологически активных добавок, пробиотиков, пищевых (кормовых) добавок и аминокислот.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Развитие коллекции микроорганизмов, культур растительных и животных клеток, генетических и генно-инженерных материалов для сохранения биологического разнообразия и обеспечения ресурсной базы биотехнологий.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