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9a57" w14:textId="c559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формирования системы информационного обмена в рамках общего электроэнергетического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2017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системы информационного обмена в рамках общего электроэнергетического рынка Евразийского экономического союза (далее - Союз) в соответствии с Программой формирования общего электроэнергетического рынка Евразийского экономического союза, утвержденной Решением Высшего Евразийского экономического совета от 26 декабря 2016 г. № 20: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возможным использование: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существующих в государствах - членах Союза (далее - государства-члены) механизмов информационного обмена с учетом их модернизации (при необходимости) для обеспечения взаимодействия субъектов общего электроэнергетического рынка Союза, в том числе в процессе планирования, выполнения необходимых функций по технологическому обеспечению функционирования общего электроэнергетического рынка Союза и осуществления взаимной торговли электрической энергией на общем электроэнергетическом рынке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интегрированной информационной системы Союза для формирования общих информационных ресурсов Союза, необходимых в том числе для информирования субъектов общего электроэнергетического рынка Союза о функционировании и развитии общего электроэнергетического рынка Союза.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правительствами государств-членов: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правил информационного обмена, предусмотренных пунктом 2 раздела I плана мероприятий по формированию общего электроэнергетического рынка Евразийского экономического союза (приложение к Программе формирования общего электроэнергетического рынка Евразийского экономического союза, утвержденной Решением Высшего Евразийского экономического совета от 26 декабря 2016 г. № 20), определить состав и объем информации, необходимой для информирования субъектов общего электроэнергетического рынка Союза о функционировании и развитии общего электроэнергетического рынка Союза, а также подготовить предложения о включении общих процессов по направлению "Энергетическая политика", способствующих обеспечению функционирования и развития общего электроэнергетического рынка Союза, в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развитие интеграционного и национальных сегментов интегрированной информационной системы Союза с целью реализации общих процессов в рамках Союза и формирования информационных ресурсов в соответствии с абзацем вторым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финансирование реализации мероприятий: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информационного взаимодействия между субъектами общего электроэнергетического рынка Союза осуществляется в порядке, определяемом государствами-членами;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формированию общих информационных ресурсов Союза и реализации общих процессов в рамках Союза осуществляется за счет средств и в порядке, которые предусмотрены правом Союза.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Союза.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