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5902" w14:textId="e2b5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в части воздушного транспорта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14 августа 2017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3 Решения Высшего Евразийского экономического совета от 26 декабря 2016 г. № 19 "Об Основных направлениях и этапах реализации скоординированной (согласованной) транспортной политики государств - членов Евразийского экономического союза" Евразийский межправительственный совет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в части воздушного транспорта на 2018 - 2020 годы (далее - план мероприятий).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Государствам - членам Евразийского экономического союза и Евразийской экономической комиссии обеспечить своевременное исполнение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Евразийской экономической комиссии обеспечить проведение мониторинга исполнения плана мероприятий государствами - членами Евразийского экономического союза и проинформировать о его результатах Евразийский межправительственный совет в первом полугодии 2021 г.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77"/>
        <w:gridCol w:w="2577"/>
        <w:gridCol w:w="1991"/>
        <w:gridCol w:w="2577"/>
        <w:gridCol w:w="2578"/>
      </w:tblGrid>
      <w:tr>
        <w:trPr>
          <w:trHeight w:val="30" w:hRule="atLeast"/>
        </w:trPr>
        <w:tc>
          <w:tcPr>
            <w:tcW w:w="2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Армения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"/>
        </w:tc>
        <w:tc>
          <w:tcPr>
            <w:tcW w:w="2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Беларусь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Казахстан </w:t>
            </w:r>
          </w:p>
        </w:tc>
        <w:tc>
          <w:tcPr>
            <w:tcW w:w="2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Кыргызской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Российской Федерации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межправительственного совета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августа 2017 г. № 2  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("дорожная карта") по реализации Основных направлений и этапов реализации скоординированной (согласованной)  </w:t>
      </w:r>
      <w:r>
        <w:br/>
      </w:r>
      <w:r>
        <w:rPr>
          <w:rFonts w:ascii="Times New Roman"/>
          <w:b/>
          <w:i w:val="false"/>
          <w:color w:val="000000"/>
        </w:rPr>
        <w:t xml:space="preserve">транспортной политики в части воздушного транспорта на 2018-2020 годы 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мероприятия 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реализации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7"/>
        <w:gridCol w:w="2340"/>
        <w:gridCol w:w="990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I. Гармонизация законодательства государств - членов Евразийского экономического союза (далее - государства-члены) в соответствии с нормами и принципами международного права в области гражданской авиации   </w:t>
            </w:r>
          </w:p>
          <w:bookmarkEnd w:id="8"/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1.Проведение сравнительного анализа законодательства государств-членов в области гражданской авиации на соответствие стандартам и рекомендуемой практике Международной организации гражданской авиации  (ИКАО). Выработка предложений и рекомендаций, направленных на обеспечение соответствия законодательства государств-членов стандартам и рекомендуемой практике ИКАО, в рамках проведения научных исследований* </w:t>
            </w:r>
          </w:p>
          <w:bookmarkEnd w:id="9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(далее–Комиссия)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 по результатам научно-исследовательской работы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согласованного подхода по внесению изменений в законодательство государств-членов в области гражданской авиации:</w:t>
            </w:r>
          </w:p>
          <w:bookmarkEnd w:id="10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сфер регулирования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1)определение и согласование сфер, регулирование которых осуществляется законодательством государств-членов, подлежащим гармонизации </w:t>
            </w:r>
          </w:p>
          <w:bookmarkEnd w:id="11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2019 г.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2)подготовка рекомендаций по гармонизации законодательства государств-членов </w:t>
            </w:r>
          </w:p>
          <w:bookmarkEnd w:id="12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Внесение изменений в нормативные правовые акты государств-членов:</w:t>
            </w:r>
          </w:p>
          <w:bookmarkEnd w:id="13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1)внесение изменений в нормативные правовые акты в установленном порядке </w:t>
            </w:r>
          </w:p>
          <w:bookmarkEnd w:id="14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2)представление государствами-членами в Комиссию информации о внесенных в нормативные правовые акты изменениях </w:t>
            </w:r>
          </w:p>
          <w:bookmarkEnd w:id="15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II. Снижение негативного воздействия гражданской авиации на окружающую среду</w:t>
            </w:r>
          </w:p>
          <w:bookmarkEnd w:id="16"/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4.Представление государствами-членами в Комиссию информации о воздушных судах, эксплуатируемых авиаперевозчиками при выполнении регулярных международных воздушных сообщений (с оценкой соответствия требованиям ИКАО по авиационному шуму)</w:t>
            </w:r>
          </w:p>
          <w:bookmarkEnd w:id="17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анализа представленной государствами-членами информации и формирование перечня воздушных судов авиационных компаний государств- членов, не соответствующих требованиям ИКАО по авиационному шуму</w:t>
            </w:r>
          </w:p>
          <w:bookmarkEnd w:id="18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воздушных судов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Разработка и принятие согласованных подходов по эксплуатации воздушных судов в регулярных международных воздушных сообщениях между государствами- членами с учетом требований ИКАО по авиационному шуму. </w:t>
            </w:r>
          </w:p>
          <w:bookmarkEnd w:id="19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государств-членов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согласованных решений об ограничении международных полетов между государствами-членами воздушных судов, не соответствующих требованиям ИКАО по авиационному шуму </w:t>
            </w:r>
          </w:p>
          <w:bookmarkEnd w:id="20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III. Обеспечение справедливой и добросовестной конкуренции</w:t>
            </w:r>
          </w:p>
          <w:bookmarkEnd w:id="21"/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Выявление препятствий (барьеров, изъятий, ограничений) в области гражданской авиации, влияющих на развитие конкуренции на рынке перевозок воздушным транспортом между государствами-членами, в том числе в рамках проведения научных исследований* </w:t>
            </w:r>
          </w:p>
          <w:bookmarkEnd w:id="22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включения в ежегодный доклад для рассмотрения Высшим Евразийским экономическим советом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 и классификация препятствий (барьеров, изъятий, ограничений)</w:t>
            </w:r>
          </w:p>
          <w:bookmarkEnd w:id="23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2018 г.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отчет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Выработка рекомендаций по устранению препятствий (барьеров, изъятий, ограничений) </w:t>
            </w:r>
          </w:p>
          <w:bookmarkEnd w:id="24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2018 г.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Предоставление альтернативных точек входа/выхода в воздушное пространство государств-членов, позволяющих авиакомпаниям государств-членов выбирать оптимальные маршруты </w:t>
            </w:r>
          </w:p>
          <w:bookmarkEnd w:id="25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2018 года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государств- 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Проведение сравнительного анализа законодательства государств-членов в части реализуемой тарифной политики и применяемых тарифов на аэронавигационное и аэропортовое обслуживание, а также условий доступа к услугам аэропортов и аэронавигации в государствах-членах.*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аналитического доклада по совершенствованию тарифной политики и применяемых тарифов на аэронавигационное и аэропортовое обслуживание, условий доступа к услугам аэропортов и аэронавигации в государствах-членах </w:t>
            </w:r>
          </w:p>
          <w:bookmarkEnd w:id="26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 по результатам научно-исследовательской работы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Разработка и принятие рекомендаций о согласованных подходах по обеспечению равных (недискриминационных) тарифных условий при оказании услуг аэропортов и аэронавигации в государствах-членах в отношении эксплуатантов всех государств- членов </w:t>
            </w:r>
          </w:p>
          <w:bookmarkEnd w:id="27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Разработка и принятие рекомендаций о согласованных подходах по недопущению создания неравных (дискриминационных) условий для авиакомпаний государств-членов при выполнении регулярных воздушных перевозок между государствами-членами, а также взимания дополнительных платежей с авиакомпаний государств-членов за использование воздушного пространства другого государства-члена </w:t>
            </w:r>
          </w:p>
          <w:bookmarkEnd w:id="28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2018-2019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Мониторинг выполнения двусторонних соглашений о воздушном сообщении в части предоставления права на техническую посадку с некоммерческими целями в международных аэропортах государств-членов авиакомпаниям другого государства-члена </w:t>
            </w:r>
          </w:p>
          <w:bookmarkEnd w:id="29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доклад, протоколы консультаций уполномоченных органов государств- 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Разработка и принятие рекомендаций о согласованных подходах по обеспечению равных (недискриминационных) условий доступа к услугам аэропортов и аэронавигации </w:t>
            </w:r>
          </w:p>
          <w:bookmarkEnd w:id="30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IV. Создание условий для обновления парка воздушных судов, модернизации и развития объектов наземной инфраструктуры аэропортов в соответствии со стандартами и рекомендуемой практикой ИКАО</w:t>
            </w:r>
          </w:p>
          <w:bookmarkEnd w:id="31"/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Предоставление государствами-членами в Комиссию информации о состоянии парка воздушных судов, планах по его обновлению и пополнению в целях определения проблем обновления, пополнения и модернизации воздушных судов </w:t>
            </w:r>
          </w:p>
          <w:bookmarkEnd w:id="32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Создание благоприятных условий (в том числе в сфере таможенно-тарифного регулирования, таможенного администрирования и иных сферах), способствующих обновлению парка воздушных судов, а также ввозу авиационных двигателей, запасных частей и оборудования, необходимых для ремонта, модернизации и (или) технического обслуживания воздушных судов и (или) авиационных двигателей к ним </w:t>
            </w:r>
          </w:p>
          <w:bookmarkEnd w:id="33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Совершенствование механизмов привлечения инвестиций, в том числе при участии Евразийского банка развития, на развитие и модернизацию инфраструктуры авиакомпаний, аэропортов, аэродромного оборудования, аэронавигационного и радиотехнического обеспечения полетов воздушных судов в государствах-членах</w:t>
            </w:r>
          </w:p>
          <w:bookmarkEnd w:id="34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2018 - 2020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государств-членов, инвестиционные программы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Выработка предложений и рекомендаций, направленных на развитие и модернизацию инфраструктуры аэропортов, аэродромного оборудования, аэронавигационного и радиотехнического обеспечения полетов воздушных судов в государствах-членах:</w:t>
            </w:r>
          </w:p>
          <w:bookmarkEnd w:id="35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предоставление государствами-членами в Комиссию информации о состоянии инфраструктуры аэропортов, аэродромного оборудования, аэронавигационного и радиотехнического обеспечения полетов воздушных судов   </w:t>
            </w:r>
          </w:p>
          <w:bookmarkEnd w:id="36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проведение анализа представленной информации  </w:t>
            </w:r>
          </w:p>
          <w:bookmarkEnd w:id="37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определение приоритетных направлений по модернизации объектов инфраструктуры аэропортов, аэродромного оборудования, аэронавигационного и радиотехнического обеспечения полетов воздушных судов</w:t>
            </w:r>
          </w:p>
          <w:bookmarkEnd w:id="38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V. Обеспечение безопасности полетов и авиационной безопасности </w:t>
            </w:r>
          </w:p>
          <w:bookmarkEnd w:id="39"/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Анализ государственных (национальных, правительственных) систем контроля по обеспечению авиационной безопасности и безопасности полетов согласно приложениям 17 и 19 к Конвенции о международной гражданской авиации от 7 декабря 1944 года </w:t>
            </w:r>
          </w:p>
          <w:bookmarkEnd w:id="40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Принятие и совершенствование государственных (национальных, правительственных) систем контроля по обеспечению авиационной безопасности и безопасности полетов в государствах-членах </w:t>
            </w:r>
          </w:p>
          <w:bookmarkEnd w:id="41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2018 года на постоянной основе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Организация курсов по обучению инспекторского состава авиационных властей (ведомств гражданской авиации) по проведению контроля за обеспечением авиационной безопасности в государствах-членах</w:t>
            </w:r>
          </w:p>
          <w:bookmarkEnd w:id="42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2018 года на постоянной основе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системе контроля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Организация взаимодействия органов государств-членов, уполномоченных в сфере гражданской авиации, в части подготовки (обучения) операторов досмотра </w:t>
            </w:r>
          </w:p>
          <w:bookmarkEnd w:id="43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2018 - 2023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государств- 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Анализ парка воздушных судов, эксплуатируемых авиаперевозчиками при выполнении полетов воздушных судов между государствами-членами, на соответствие требованиям приложения 6 к Конвенции о международной гражданской авиации от 7 декабря 1944 года на основе информации, представленной государствами-членами  </w:t>
            </w:r>
          </w:p>
          <w:bookmarkEnd w:id="44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2019 - 2020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Унификация классификаций авиационных происшествий в государствах-членах в соответствии с классификацией ИКАО (ADREP 2000/ECCAIRS)</w:t>
            </w:r>
          </w:p>
          <w:bookmarkEnd w:id="45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Подготовка и принятие рекомендации о согласованных подходах к планированию использования воздушного пространства и организации воздушного движения </w:t>
            </w:r>
          </w:p>
          <w:bookmarkEnd w:id="46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2019-2020 годы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VI. Расширение воздушного сообщения </w:t>
            </w:r>
          </w:p>
          <w:bookmarkEnd w:id="47"/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Выработка предложений, направленных на устранение существующих ограничений в воздушном сообщении между государствами-членами*  </w:t>
            </w:r>
          </w:p>
          <w:bookmarkEnd w:id="48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 по результатам научно-исследовательской работы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Анализ опыта интеграционных объединений по либерализации воздушного сообщения в целях определения предмета, содержания и структуры международного договора в рамках Евразийского экономического союза* </w:t>
            </w:r>
          </w:p>
          <w:bookmarkEnd w:id="49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 по результатам научно-исследовательской работы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Предоставление права маркетингового перевозчика на заключение соглашения Codeshare с авиакомпаниями государств-членов, назначенными и уполномоченными в соответствии с международными договорами о воздушном сообщении, при выполнении регулярных воздушных перевозок между государствами-членами, в том числе на маршрутах в третьи страны</w:t>
            </w:r>
          </w:p>
          <w:bookmarkEnd w:id="50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государств- членов о внесении изменений в приложения к соглашениям о воздушном сообщении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Подготовка и принятие рекомендации по поэтапному снятию существующих ограничений при выполнении регулярных международных воздушных сообщений между государствами-членами </w:t>
            </w:r>
          </w:p>
          <w:bookmarkEnd w:id="51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Снятие существующих ограничений при выполнении регулярных международных воздушных сообщений между государствами-членами в части: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пунктов назначения между государствами-членами;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количества назначенных перевозчиков;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частоте выполнения полетов на договорных линиях в рамках межправительственных соглашений о воздушном сообщении;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транзитного пролета перевозчиков одного государства-члена через воздушное пространство другого государства-члсна, выполняющих международные рейсы </w:t>
            </w:r>
          </w:p>
          <w:bookmarkEnd w:id="52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2025 года (по мере готовности государств- членов)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уполномоченных органов государств- членов о внесении изменений в приложения к соглашениям о воздушном сообщении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Создание равных условий для авиакомпаний государств-членов при эксплуатации договорных маршрутов путем обеспечения равных (недискриминационных) тарифных условий в отношении использования авиационной инфраструктуры и недопущения взимания дополнительных платежей с авиакомпаний государств- членов за использование воздушного пространства другого государства-члена </w:t>
            </w:r>
          </w:p>
          <w:bookmarkEnd w:id="53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2025 года (по мере готовности государств- членов)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Подготовка предложений по согласованию (унификации) программ обучения, переподготовки и повышения квалификации авиационных специалистов в государствах-членах, созданию и развитию современных, конкурентоспособных научно-образовательных центров</w:t>
            </w:r>
          </w:p>
          <w:bookmarkEnd w:id="54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Внедрение согласованных (унифицированных) программ обучения, переподготовки и повышения квалификации авиационных специалистов </w:t>
            </w:r>
          </w:p>
          <w:bookmarkEnd w:id="55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Подготовка предложений по расширению научно-технического сотрудничества, обмену передовым опытом, планированию совместных исследований в целях разработки и внедрения инновационных технологий, технических средств и процедур в области гражданской авиации, в том числе: </w:t>
            </w:r>
          </w:p>
          <w:bookmarkEnd w:id="56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доклад</w:t>
            </w:r>
          </w:p>
        </w:tc>
      </w:tr>
      <w:tr>
        <w:trPr>
          <w:trHeight w:val="30" w:hRule="atLeast"/>
        </w:trPr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источников финансирования совместных проектов и научно-технических разработок осуществление средне- и долгосрочного планирования приоритетных научных исследований с учетом наилучших мировых достижений </w:t>
            </w:r>
          </w:p>
          <w:bookmarkEnd w:id="57"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______________________________________________________________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* В рамках проведения комплексной научно-исследовательской работы на тему: "Разработка предложений по поэтапному формированию общего рынка услуг воздушного транспорта Евразийского экономического союза".  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