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ad56" w14:textId="c41a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"Пищевая продукция в части ее маркировки" (ТР ТС 022/2011)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4.11 статьи 4 технического регламента Таможенного союза "Пищевая продукция в части ее маркировки" (ТР ТС 022/2011), принятого Решением Комиссии Таможенного союза от 9 декабря 2011 г. № 881,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"продукция" или" заменить словами "продукция", или";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второй заменить абзацами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рядом с единым знаком обращения продукции на рынке Евразийского экономического союза наносится одинаковый с ним по форме и размеру знак маркировки продукции, полученной с применением ГМО, в виде надписи "ГМО".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изготовитель при производстве пищевой продукции не использовал генно-модифицированные организмы, то содержание ГМО в пищевой продукции 0,9 процента и менее является случайной или технически неустранимой примесью и такая пищевая продукция не относится к пищевой продукции, содержащей ГМО. При маркировке такой пищевой продукции сведения о наличии ГМО не указываются.".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12 месяцев с даты его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