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2016" w14:textId="a522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дубильных веществ и препаратов для дубления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17 мая 2017 года № 30.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ставку ввозной таможенной пошлины Единого таможенного тарифа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 г. № 54) в отношении дубильных веществ и препаратов для дубления, классифицируемых кодом 3202 90 000 0 ТН ВЭД ЕАЭС, в размере 0 процентов от таможенной стоимости с даты вступления в силу настоящего Решения по 30 июня 2019 г. включительно.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в Единый таможенный тариф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</w:t>
      </w:r>
      <w:r>
        <w:rPr>
          <w:rFonts w:ascii="Times New Roman"/>
          <w:b w:val="false"/>
          <w:i w:val="false"/>
          <w:color w:val="000000"/>
          <w:sz w:val="28"/>
        </w:rPr>
        <w:t>позицию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 кодом 3202 90 000 0 ТН ВЭД ЕАЭС в графе четвертой дополнить ссылкой на примечание "</w:t>
      </w:r>
      <w:r>
        <w:rPr>
          <w:rFonts w:ascii="Times New Roman"/>
          <w:b w:val="false"/>
          <w:i w:val="false"/>
          <w:color w:val="000000"/>
          <w:vertAlign w:val="superscript"/>
        </w:rPr>
        <w:t>46С)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</w:t>
      </w:r>
      <w:r>
        <w:rPr>
          <w:rFonts w:ascii="Times New Roman"/>
          <w:b w:val="false"/>
          <w:i w:val="false"/>
          <w:color w:val="000000"/>
          <w:sz w:val="28"/>
        </w:rPr>
        <w:t>примечания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Единому таможенному тарифу Евразийского экономического союза дополнить примечанием 46С следующего содержания: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46С)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17 мая 2017 г. № 30 по 30.06.2019 включительно.".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Настоящее Решение вступает в силу по истечении 30 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7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 Панкратов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