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c3d2" w14:textId="0cdc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эксплуатацию подсистемы агропромышленного комплекса государств – членов Евразийского экономического союза в рамках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декабря 2017 года № 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17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Концепции согласованной (скоординированной) агропромышленной политики государств – членов Таможенного союза и Единого экономического пространства, утвержденного Решением Высшего Евразийского экономического совета от 21 ноября 2014 г. № 94, с учетом результатов опытной эксплуатации подсистемы агропромышленного комплекса государств – членов Евразийского экономического союза в рамках интегрированной информационной системы Евразийского экономического союза, проведенной 8 – 15 ноября 2017 г.: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эксплуатацию подсистему агропромышленного комплекса государств – членов Евразийского экономического союза в рамках интегрированной информационной системы Евразийского экономического союза.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