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2afa" w14:textId="6472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мониторинга цен в период действия антидемпинговой меры в отношении уголков стальных горячекатаных, происходящих из Украины и ввозимых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03 октября 2017 года № 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Просить органы государственной власти государств – членов Евразийского экономического союза, в компетенцию которых входит реализация и (или) проведение конкурентной (антимонопольной) политики,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 октября 2017 г. № 133 и в течение предусмотренного указанным Решением срока действия антидемпинговой меры направлять в Евразийскую экономическую комиссию по итогам каждого полугодия информацию о динамике цен на товарном рынке уголков стальных горячекатаных равнополочных шириной полки от 20 до 200 мм включительно из углеродистой, низколегированной и легированной (за исключением коррозионностойкой) стали, потребляемых в соответствующем государстве – члене Евразийского экономического союза. 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антимонопольного регулирования Евразийской экономической комиссии в месячный срок с даты поступления в Евразийскую экономическую комиссию информации, указанной в пункте 1 настоящего распоряжения, информировать Коллегию Евразийской экономической комиссии о динамике цен на соответствующем товарном рынке Евразийского экономического союза.    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принятия.    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