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c440d" w14:textId="bcc44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единой форме разрешительного документа, применяемого в соответствии с Соглашением о перемещении озоноразрушающих веществ и содержащей их продукции и учете озоноразрушающих веществ при осуществлении взаимной торговли государств – членов Евразийского экономического союза от 29 мая 2015 года и Соглашением о перемещении служебного и гражданского оружия между государствами – членами Евразийского экономического союза от 20 мая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27 ноября 2017 года № 162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перемещении озоноразрушающих веществ и содержащей их продукции и учете озоноразрушающих веществ при осуществлении взаимной торговли государств – членов Евразийского экономического союза от 29 мая 2015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перемещении служебного и гражданского оружия между государствами – членами Евразийского экономического союза от 20 мая 2016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Установить, что </w:t>
      </w:r>
      <w:r>
        <w:rPr>
          <w:rFonts w:ascii="Times New Roman"/>
          <w:b w:val="false"/>
          <w:i w:val="false"/>
          <w:color w:val="000000"/>
          <w:sz w:val="28"/>
        </w:rPr>
        <w:t>единая форма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 (разрешительного документа), утвержденная Решением Коллегии Евразийской экономической комиссии от 16 мая 2012 г. № 45, применяется в качестве единой формы: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заключения (разрешительного документа), на основании которого осуществляется перемещение озоноразрушающих веществ и содержащей их продукции по таможенной территории Евразийского экономического союза;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разрешительного документа, на основании которого осуществляется перемещение и внутренний транзит служебного и гражданского оружия по таможенной территории Евразийского экономического союза.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Подпункт "а" пункта 1 настоящего Решения вступает в силу с даты вступления в силу Соглашения о перемещении озоноразрушающих веществ и содержащей их продукции и учете озоноразрушающих веществ при осуществлении взаимной торговли государств – членов Евразийского экономического союза от 29 мая 2015 года, но не ранее 30 календарных дней с даты официального опубликования настоящего Решения.  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"б" пункта 1 настоящего Решения вступает в силу с даты вступления в силу Соглашения о перемещении служебного и гражданского оружия между государствами – членами Евразийского экономического союза от 20 мая 2016 года, но не ранее 30 календарных дней с даты официального опубликования настоящего Решения.  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