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ae9a" w14:textId="d02a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16 сентября 2014 г.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2017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и подпунктом "а"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принятия Евразийской экономической комиссией решений о классификации отдельных видов товаров, утвержденного Решением Коллегии Евразийской экономической комиссии от 2 декабря 2013 г. № 284,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сентября 2014 г. № 156 "О классификации подгузников детских одноразовых по единой Товарной номенклатуре внешнеэкономической деятельности Таможенного союза"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наименовании слова "Таможенного союза" заменить словами "Евразийского экономического союза";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Подгузники детские одноразовые, состоящие из нескольких слоев, изготовленных из различных материалов, в которых абсорбирующий слой, придающий изделию основное свойство  сбор и удержание жидкости, состоит из распушенной целлюлозы с добавлением химических волокон или без них и химического влагопоглощающего материала (суперабсорбента), в соответствии с Основными правилами интерпретации Товарной номенклатуры внешнеэкономической деятельности 1, 3 (в) и 6 классифицируются в подсубпозиции 9619 00 810 9 единой Товарной номенклатуры внешнеэкономической деятельности Евразийского экономического союза.".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