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f706" w14:textId="c9ef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Российской Федерацией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ноября 2017 года № 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Приняв к сведению информацию о результатах мониторинга выполнения государствами – членами Евразийского экономического союза (далее – Союз) обязательств в рамках функционирования внутреннего рынка Союза в части соблюдения общих принципов конкуренции,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Уведомить Российскую Федерацию о необходимости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Договора о Евразийском экономическом союзе от 29 мая 2014 года путем обеспечения соблюдения общих принципов конкуренции при размещении рекламы вина и игристого вина (шампанского) в средствах массовой информации, на выставках пищевой продукции и выставках организаций общественного питания.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Просить Правительство Российской Федерации в течение 10 календарных дней с даты вступления настоящего Решения в силу проинформировать Евразийскую экономическую комиссию о принятых мерах.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по истечении 30 календарных дней с даты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