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b624" w14:textId="0f6b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14 ноября 2017 года № 148.</w:t>
      </w:r>
    </w:p>
    <w:p>
      <w:pPr>
        <w:spacing w:after="0"/>
        <w:ind w:left="0"/>
        <w:jc w:val="both"/>
      </w:pPr>
      <w:bookmarkStart w:name="z4" w:id="0"/>
      <w:r>
        <w:rPr>
          <w:rFonts w:ascii="Times New Roman"/>
          <w:b w:val="false"/>
          <w:i w:val="false"/>
          <w:color w:val="000000"/>
          <w:sz w:val="28"/>
        </w:rPr>
        <w:t xml:space="preserve">
      В соответствии с пунктом 5 статьи 105, пунктом 5 статьи 109, пунктом 6 статьи 258, пунктом 4 статьи 259, пунктом 3 статьи 260, пунктом 2 статьи 263, пунктом 10 статьи 264 и пунктом 9 статьи 302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решения Комиссии Таможенного союза изменения согласно приложению.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14 ноября 2017 г. № 148     </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Комиссии Таможенного союза</w:t>
      </w:r>
    </w:p>
    <w:bookmarkEnd w:id="3"/>
    <w:bookmarkStart w:name="z10" w:id="4"/>
    <w:p>
      <w:pPr>
        <w:spacing w:after="0"/>
        <w:ind w:left="0"/>
        <w:jc w:val="both"/>
      </w:pPr>
      <w:r>
        <w:rPr>
          <w:rFonts w:ascii="Times New Roman"/>
          <w:b w:val="false"/>
          <w:i w:val="false"/>
          <w:color w:val="ff0000"/>
          <w:sz w:val="28"/>
        </w:rPr>
        <w:t>
      1.</w:t>
      </w:r>
      <w:r>
        <w:rPr>
          <w:rFonts w:ascii="Times New Roman"/>
          <w:b w:val="false"/>
          <w:i w:val="false"/>
          <w:color w:val="ff0000"/>
          <w:sz w:val="28"/>
        </w:rPr>
        <w:t xml:space="preserve"> Пункт 1 утратил силу решением Коллегии Евразийской экономической комиссии от 23.07.2019 </w:t>
      </w:r>
      <w:r>
        <w:rPr>
          <w:rFonts w:ascii="Times New Roman"/>
          <w:b w:val="false"/>
          <w:i w:val="false"/>
          <w:color w:val="ff0000"/>
          <w:sz w:val="28"/>
        </w:rPr>
        <w:t>№ 124</w:t>
      </w:r>
      <w:r>
        <w:rPr>
          <w:rFonts w:ascii="Times New Roman"/>
          <w:b w:val="false"/>
          <w:i w:val="false"/>
          <w:color w:val="ff0000"/>
          <w:sz w:val="28"/>
        </w:rPr>
        <w:t xml:space="preserve"> (вступает в силу с 01.02.2020).</w:t>
      </w:r>
    </w:p>
    <w:bookmarkEnd w:id="4"/>
    <w:bookmarkStart w:name="z91"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18 июня 2010 г. № 311 "Об 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p>
    <w:bookmarkEnd w:id="5"/>
    <w:bookmarkStart w:name="z92" w:id="6"/>
    <w:p>
      <w:pPr>
        <w:spacing w:after="0"/>
        <w:ind w:left="0"/>
        <w:jc w:val="both"/>
      </w:pPr>
      <w:r>
        <w:rPr>
          <w:rFonts w:ascii="Times New Roman"/>
          <w:b w:val="false"/>
          <w:i w:val="false"/>
          <w:color w:val="000000"/>
          <w:sz w:val="28"/>
        </w:rPr>
        <w:t xml:space="preserve">
      а) наименование изложить в следующей редакции:  </w:t>
      </w:r>
    </w:p>
    <w:bookmarkEnd w:id="6"/>
    <w:bookmarkStart w:name="z93" w:id="7"/>
    <w:p>
      <w:pPr>
        <w:spacing w:after="0"/>
        <w:ind w:left="0"/>
        <w:jc w:val="both"/>
      </w:pPr>
      <w:r>
        <w:rPr>
          <w:rFonts w:ascii="Times New Roman"/>
          <w:b w:val="false"/>
          <w:i w:val="false"/>
          <w:color w:val="000000"/>
          <w:sz w:val="28"/>
        </w:rPr>
        <w:t>
      "О Порядке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bookmarkEnd w:id="7"/>
    <w:bookmarkStart w:name="z94" w:id="8"/>
    <w:p>
      <w:pPr>
        <w:spacing w:after="0"/>
        <w:ind w:left="0"/>
        <w:jc w:val="both"/>
      </w:pPr>
      <w:r>
        <w:rPr>
          <w:rFonts w:ascii="Times New Roman"/>
          <w:b w:val="false"/>
          <w:i w:val="false"/>
          <w:color w:val="000000"/>
          <w:sz w:val="28"/>
        </w:rPr>
        <w:t>
      б)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End w:id="8"/>
    <w:bookmarkStart w:name="z95" w:id="9"/>
    <w:p>
      <w:pPr>
        <w:spacing w:after="0"/>
        <w:ind w:left="0"/>
        <w:jc w:val="both"/>
      </w:pPr>
      <w:r>
        <w:rPr>
          <w:rFonts w:ascii="Times New Roman"/>
          <w:b w:val="false"/>
          <w:i w:val="false"/>
          <w:color w:val="000000"/>
          <w:sz w:val="28"/>
        </w:rPr>
        <w:t>
      "1. Утвердить прилагаемый Порядок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bookmarkEnd w:id="9"/>
    <w:bookmarkStart w:name="z96" w:id="10"/>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Инструкции</w:t>
      </w:r>
      <w:r>
        <w:rPr>
          <w:rFonts w:ascii="Times New Roman"/>
          <w:b w:val="false"/>
          <w:i w:val="false"/>
          <w:color w:val="000000"/>
          <w:sz w:val="28"/>
        </w:rPr>
        <w:t xml:space="preserve">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 утвержденной указанным Решением:</w:t>
      </w:r>
    </w:p>
    <w:bookmarkEnd w:id="10"/>
    <w:bookmarkStart w:name="z97" w:id="11"/>
    <w:p>
      <w:pPr>
        <w:spacing w:after="0"/>
        <w:ind w:left="0"/>
        <w:jc w:val="both"/>
      </w:pPr>
      <w:r>
        <w:rPr>
          <w:rFonts w:ascii="Times New Roman"/>
          <w:b w:val="false"/>
          <w:i w:val="false"/>
          <w:color w:val="000000"/>
          <w:sz w:val="28"/>
        </w:rPr>
        <w:t xml:space="preserve">
      наименование изложить в следующей редакции: </w:t>
      </w:r>
    </w:p>
    <w:bookmarkEnd w:id="11"/>
    <w:bookmarkStart w:name="z98" w:id="12"/>
    <w:p>
      <w:pPr>
        <w:spacing w:after="0"/>
        <w:ind w:left="0"/>
        <w:jc w:val="both"/>
      </w:pPr>
      <w:r>
        <w:rPr>
          <w:rFonts w:ascii="Times New Roman"/>
          <w:b w:val="false"/>
          <w:i w:val="false"/>
          <w:color w:val="000000"/>
          <w:sz w:val="28"/>
        </w:rPr>
        <w:t>
      "Порядок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Союза, выпуска таких товаров и отражения факта их признания не находящимися под таможенным контролем";</w:t>
      </w:r>
    </w:p>
    <w:bookmarkEnd w:id="12"/>
    <w:bookmarkStart w:name="z99" w:id="13"/>
    <w:p>
      <w:pPr>
        <w:spacing w:after="0"/>
        <w:ind w:left="0"/>
        <w:jc w:val="both"/>
      </w:pPr>
      <w:r>
        <w:rPr>
          <w:rFonts w:ascii="Times New Roman"/>
          <w:b w:val="false"/>
          <w:i w:val="false"/>
          <w:color w:val="000000"/>
          <w:sz w:val="28"/>
        </w:rPr>
        <w:t>
      по тексту слова "настоящая Инструкция" в соответствующем падеже заменить словами "настоящий Порядок" в соответствующем падеже, слова "авто-, мототранспортного средства" в соответствующем числе заменить словами "авто- и мототранспортного средства" в соответствующем числе;</w:t>
      </w:r>
    </w:p>
    <w:bookmarkEnd w:id="13"/>
    <w:bookmarkStart w:name="z10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
    <w:bookmarkStart w:name="z101" w:id="15"/>
    <w:p>
      <w:pPr>
        <w:spacing w:after="0"/>
        <w:ind w:left="0"/>
        <w:jc w:val="both"/>
      </w:pPr>
      <w:r>
        <w:rPr>
          <w:rFonts w:ascii="Times New Roman"/>
          <w:b w:val="false"/>
          <w:i w:val="false"/>
          <w:color w:val="000000"/>
          <w:sz w:val="28"/>
        </w:rPr>
        <w:t>
      часть первую признать утратившей силу;</w:t>
      </w:r>
    </w:p>
    <w:bookmarkEnd w:id="15"/>
    <w:bookmarkStart w:name="z102" w:id="16"/>
    <w:p>
      <w:pPr>
        <w:spacing w:after="0"/>
        <w:ind w:left="0"/>
        <w:jc w:val="both"/>
      </w:pPr>
      <w:r>
        <w:rPr>
          <w:rFonts w:ascii="Times New Roman"/>
          <w:b w:val="false"/>
          <w:i w:val="false"/>
          <w:color w:val="000000"/>
          <w:sz w:val="28"/>
        </w:rPr>
        <w:t>
      в части третьей слова "Таможенном кодексе Таможенного союза (далее – Кодекс), Соглашении" заменить словами "Таможенном кодексе Евразийского экономического союза (далее – Кодекс)";</w:t>
      </w:r>
    </w:p>
    <w:bookmarkEnd w:id="16"/>
    <w:bookmarkStart w:name="z103" w:id="1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17</w:t>
      </w:r>
      <w:r>
        <w:rPr>
          <w:rFonts w:ascii="Times New Roman"/>
          <w:b w:val="false"/>
          <w:i w:val="false"/>
          <w:color w:val="000000"/>
          <w:sz w:val="28"/>
        </w:rPr>
        <w:t xml:space="preserve">, </w:t>
      </w:r>
      <w:r>
        <w:rPr>
          <w:rFonts w:ascii="Times New Roman"/>
          <w:b w:val="false"/>
          <w:i w:val="false"/>
          <w:color w:val="000000"/>
          <w:sz w:val="28"/>
        </w:rPr>
        <w:t>пункте 18</w:t>
      </w:r>
      <w:r>
        <w:rPr>
          <w:rFonts w:ascii="Times New Roman"/>
          <w:b w:val="false"/>
          <w:i w:val="false"/>
          <w:color w:val="000000"/>
          <w:sz w:val="28"/>
        </w:rPr>
        <w:t xml:space="preserve"> и части седьмой </w:t>
      </w:r>
      <w:r>
        <w:rPr>
          <w:rFonts w:ascii="Times New Roman"/>
          <w:b w:val="false"/>
          <w:i w:val="false"/>
          <w:color w:val="000000"/>
          <w:sz w:val="28"/>
        </w:rPr>
        <w:t>пункта 19</w:t>
      </w:r>
      <w:r>
        <w:rPr>
          <w:rFonts w:ascii="Times New Roman"/>
          <w:b w:val="false"/>
          <w:i w:val="false"/>
          <w:color w:val="000000"/>
          <w:sz w:val="28"/>
        </w:rPr>
        <w:t xml:space="preserve"> слова "пунктом 2 статьи 358 Кодекса и пунктом 23 приложения 3 к Соглашению" заменить словами "пунктами 1 и 2 статьи 264 Кодекса";   </w:t>
      </w:r>
    </w:p>
    <w:bookmarkEnd w:id="17"/>
    <w:bookmarkStart w:name="z104" w:id="18"/>
    <w:p>
      <w:pPr>
        <w:spacing w:after="0"/>
        <w:ind w:left="0"/>
        <w:jc w:val="both"/>
      </w:pPr>
      <w:r>
        <w:rPr>
          <w:rFonts w:ascii="Times New Roman"/>
          <w:b w:val="false"/>
          <w:i w:val="false"/>
          <w:color w:val="000000"/>
          <w:sz w:val="28"/>
        </w:rPr>
        <w:t>
      дополнить пунктами 20</w:t>
      </w:r>
      <w:r>
        <w:rPr>
          <w:rFonts w:ascii="Times New Roman"/>
          <w:b w:val="false"/>
          <w:i w:val="false"/>
          <w:color w:val="000000"/>
          <w:vertAlign w:val="superscript"/>
        </w:rPr>
        <w:t>1</w:t>
      </w:r>
      <w:r>
        <w:rPr>
          <w:rFonts w:ascii="Times New Roman"/>
          <w:b w:val="false"/>
          <w:i w:val="false"/>
          <w:color w:val="000000"/>
          <w:sz w:val="28"/>
        </w:rPr>
        <w:t xml:space="preserve"> и 20</w:t>
      </w:r>
      <w:r>
        <w:rPr>
          <w:rFonts w:ascii="Times New Roman"/>
          <w:b w:val="false"/>
          <w:i w:val="false"/>
          <w:color w:val="000000"/>
          <w:vertAlign w:val="superscript"/>
        </w:rPr>
        <w:t>2</w:t>
      </w:r>
      <w:r>
        <w:rPr>
          <w:rFonts w:ascii="Times New Roman"/>
          <w:b w:val="false"/>
          <w:i w:val="false"/>
          <w:color w:val="000000"/>
          <w:sz w:val="28"/>
        </w:rPr>
        <w:t xml:space="preserve"> следующего содержания:  </w:t>
      </w:r>
    </w:p>
    <w:bookmarkEnd w:id="18"/>
    <w:bookmarkStart w:name="z105" w:id="19"/>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Разрешение на передачу декларантом, являющимся иностранным физическим лицом, временно ввезенного на таможенную территорию транспортного средства для личного пользования физическому лицу государства – члена Союза выдается таможенным органом после предоставления декларантом обеспечения исполнения обязанности по уплате таможенных пошлин, налогов на основании заявления декларанта. Указанное заявление составляется в произвольной форме и содержит сведения о:</w:t>
      </w:r>
    </w:p>
    <w:bookmarkEnd w:id="19"/>
    <w:bookmarkStart w:name="z106" w:id="20"/>
    <w:p>
      <w:pPr>
        <w:spacing w:after="0"/>
        <w:ind w:left="0"/>
        <w:jc w:val="both"/>
      </w:pPr>
      <w:r>
        <w:rPr>
          <w:rFonts w:ascii="Times New Roman"/>
          <w:b w:val="false"/>
          <w:i w:val="false"/>
          <w:color w:val="000000"/>
          <w:sz w:val="28"/>
        </w:rPr>
        <w:t xml:space="preserve">
      декларанте (фамилия, имя и отчество (при наличии), реквизиты документа, удостоверяющего личность); </w:t>
      </w:r>
    </w:p>
    <w:bookmarkEnd w:id="20"/>
    <w:bookmarkStart w:name="z107" w:id="21"/>
    <w:p>
      <w:pPr>
        <w:spacing w:after="0"/>
        <w:ind w:left="0"/>
        <w:jc w:val="both"/>
      </w:pPr>
      <w:r>
        <w:rPr>
          <w:rFonts w:ascii="Times New Roman"/>
          <w:b w:val="false"/>
          <w:i w:val="false"/>
          <w:color w:val="000000"/>
          <w:sz w:val="28"/>
        </w:rPr>
        <w:t>
      транспортном средстве для личного пользования (регистрационный номер, вид, марка, номер кузова или идентификационный номер, номер шасси (при наличии));</w:t>
      </w:r>
    </w:p>
    <w:bookmarkEnd w:id="21"/>
    <w:bookmarkStart w:name="z108" w:id="22"/>
    <w:p>
      <w:pPr>
        <w:spacing w:after="0"/>
        <w:ind w:left="0"/>
        <w:jc w:val="both"/>
      </w:pPr>
      <w:r>
        <w:rPr>
          <w:rFonts w:ascii="Times New Roman"/>
          <w:b w:val="false"/>
          <w:i w:val="false"/>
          <w:color w:val="000000"/>
          <w:sz w:val="28"/>
        </w:rPr>
        <w:t xml:space="preserve">
      физическом лице, которому такое транспортное средство для личного пользования передается (фамилия, имя и отчество (при наличии), реквизиты документа, удостоверяющего личность, адрес места жительства (регистрации), гражданство (подданство), дата рождения, а также сведения о постановке на учет в налоговом органе (при наличии) (в Республике Армения – учетный номер налогоплательщика, в Республике Беларусь – идентификационный номер, в Республике Казахстан – индивидуальный идентификационный номер, в Кыргызской Республике – персональный идентификационный номер, в Российской Федерации – идентификационный номер налогоплательщика)). </w:t>
      </w:r>
    </w:p>
    <w:bookmarkEnd w:id="22"/>
    <w:bookmarkStart w:name="z109" w:id="23"/>
    <w:p>
      <w:pPr>
        <w:spacing w:after="0"/>
        <w:ind w:left="0"/>
        <w:jc w:val="both"/>
      </w:pPr>
      <w:r>
        <w:rPr>
          <w:rFonts w:ascii="Times New Roman"/>
          <w:b w:val="false"/>
          <w:i w:val="false"/>
          <w:color w:val="000000"/>
          <w:sz w:val="28"/>
        </w:rPr>
        <w:t xml:space="preserve">
      Разрешение на передачу временно ввезенного на таможенную территорию транспортного средства для личного пользования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_________" с указанием фамилии, имени и отчества (при наличии) физического лица, которому такое транспортное средство для личного пользования передается, и реквизитов документа, удостоверяющего его личность, а также реквизитов документа, подтверждающего предоставление обеспечения исполнения обязанности по уплате таможенных пошлин, налогов, и суммы такого обеспечения. Запись заверяется оттиском личной номерной печати должностного лица таможенного органа, выдавшего такое разрешение. </w:t>
      </w:r>
    </w:p>
    <w:bookmarkEnd w:id="23"/>
    <w:bookmarkStart w:name="z110" w:id="24"/>
    <w:p>
      <w:pPr>
        <w:spacing w:after="0"/>
        <w:ind w:left="0"/>
        <w:jc w:val="both"/>
      </w:pPr>
      <w:r>
        <w:rPr>
          <w:rFonts w:ascii="Times New Roman"/>
          <w:b w:val="false"/>
          <w:i w:val="false"/>
          <w:color w:val="000000"/>
          <w:sz w:val="28"/>
        </w:rPr>
        <w:t>
      Оригиналы заявления и декларации (иного документа) с разрешением таможенного органа на передачу временно ввезенного на таможенную территорию транспортного средства для личного пользования возвращаются декларанту для последующей передачи физическому лицу, которому передается транспортное средство для личного пользования, а копия такого заявления и копия декларации (иного документа) остаются в таможенном органе.</w:t>
      </w:r>
    </w:p>
    <w:bookmarkEnd w:id="24"/>
    <w:bookmarkStart w:name="z111" w:id="25"/>
    <w:p>
      <w:pPr>
        <w:spacing w:after="0"/>
        <w:ind w:left="0"/>
        <w:jc w:val="both"/>
      </w:pPr>
      <w:r>
        <w:rPr>
          <w:rFonts w:ascii="Times New Roman"/>
          <w:b w:val="false"/>
          <w:i w:val="false"/>
          <w:color w:val="000000"/>
          <w:sz w:val="28"/>
        </w:rPr>
        <w:t>
      В случае утраты декларации или иного документа, оформленных таможенным органом при временном ввозе на таможенную территорию транспортного средства для личного пользования, разрешение на передачу такого транспортного средства для личного пользования отражается в заявлении, указанном в части первой настоящего пункта, путем внесения должностным лицом таможенного органа записи "Разрешена передача ТС _________" с указанием реквизитов документа, подтверждающего предоставление обеспечения исполнения обязанности по уплате таможенных пошлин, налогов, и суммы такого обеспечения. Запись заверяется оттиском личной номерной печати должностного лица таможенного органа, выдавшего такое разрешение.</w:t>
      </w:r>
    </w:p>
    <w:bookmarkEnd w:id="25"/>
    <w:bookmarkStart w:name="z112" w:id="26"/>
    <w:p>
      <w:pPr>
        <w:spacing w:after="0"/>
        <w:ind w:left="0"/>
        <w:jc w:val="both"/>
      </w:pPr>
      <w:r>
        <w:rPr>
          <w:rFonts w:ascii="Times New Roman"/>
          <w:b w:val="false"/>
          <w:i w:val="false"/>
          <w:color w:val="000000"/>
          <w:sz w:val="28"/>
        </w:rPr>
        <w:t>
      Оригинал заявления с разрешением таможенного органа на передачу временно ввезенного на таможенную территорию транспортного средства для личного пользования возвращается декларанту для последующей передачи физическому лицу, которому передается транспортное средство для личного пользования, а копия такого заявления остается в таможенном органе.</w:t>
      </w:r>
    </w:p>
    <w:bookmarkEnd w:id="26"/>
    <w:bookmarkStart w:name="z113" w:id="27"/>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2</w:t>
      </w:r>
      <w:r>
        <w:rPr>
          <w:rFonts w:ascii="Times New Roman"/>
          <w:b w:val="false"/>
          <w:i w:val="false"/>
          <w:color w:val="000000"/>
          <w:sz w:val="28"/>
        </w:rPr>
        <w:t>. Разрешение на передачу декларантом временно ввезенного на таможенную территорию транспортного средства для личного пользования иному лицу для вывоза с таможенной территории, если такой вывоз не может быть осуществлен декларантом по причине его тяжелой болезни или по иной объективной причине, выдается таможенным органом на основании заявления декларанта при представлении документа, подтверждающего тяжелую болезнь декларанта или иную объективную причину.</w:t>
      </w:r>
    </w:p>
    <w:bookmarkEnd w:id="27"/>
    <w:bookmarkStart w:name="z114" w:id="28"/>
    <w:p>
      <w:pPr>
        <w:spacing w:after="0"/>
        <w:ind w:left="0"/>
        <w:jc w:val="both"/>
      </w:pPr>
      <w:r>
        <w:rPr>
          <w:rFonts w:ascii="Times New Roman"/>
          <w:b w:val="false"/>
          <w:i w:val="false"/>
          <w:color w:val="000000"/>
          <w:sz w:val="28"/>
        </w:rPr>
        <w:t>
      Разрешение на передачу декларантом временно ввезенного на таможенную территорию транспортного средства для личного пользования иному лицу для вывоза с таможенной территории, если такой вывоз не может быть осуществлен декларантом по причине его смерти, тяжелой болезни, признания декларанта безвестно отсутствующим, выдается таможенным органом на основании заявления лица, которому такое транспортное средство для личного пользования передается, при представлении документа, подтверждающего смерть, тяжелую болезнь декларанта, признание декларанта безвестно отсутствующим.</w:t>
      </w:r>
    </w:p>
    <w:bookmarkEnd w:id="28"/>
    <w:bookmarkStart w:name="z115" w:id="29"/>
    <w:p>
      <w:pPr>
        <w:spacing w:after="0"/>
        <w:ind w:left="0"/>
        <w:jc w:val="both"/>
      </w:pPr>
      <w:r>
        <w:rPr>
          <w:rFonts w:ascii="Times New Roman"/>
          <w:b w:val="false"/>
          <w:i w:val="false"/>
          <w:color w:val="000000"/>
          <w:sz w:val="28"/>
        </w:rPr>
        <w:t xml:space="preserve">
      Заявления, указанные в частях первой и второй настоящего пункта, составляются в произвольной форме и содержат сведения о: </w:t>
      </w:r>
    </w:p>
    <w:bookmarkEnd w:id="29"/>
    <w:bookmarkStart w:name="z116" w:id="30"/>
    <w:p>
      <w:pPr>
        <w:spacing w:after="0"/>
        <w:ind w:left="0"/>
        <w:jc w:val="both"/>
      </w:pPr>
      <w:r>
        <w:rPr>
          <w:rFonts w:ascii="Times New Roman"/>
          <w:b w:val="false"/>
          <w:i w:val="false"/>
          <w:color w:val="000000"/>
          <w:sz w:val="28"/>
        </w:rPr>
        <w:t>
      декларанте (фамилия, имя и отчество (при наличии), реквизиты документа, удостоверяющего личность);</w:t>
      </w:r>
    </w:p>
    <w:bookmarkEnd w:id="30"/>
    <w:bookmarkStart w:name="z117" w:id="31"/>
    <w:p>
      <w:pPr>
        <w:spacing w:after="0"/>
        <w:ind w:left="0"/>
        <w:jc w:val="both"/>
      </w:pPr>
      <w:r>
        <w:rPr>
          <w:rFonts w:ascii="Times New Roman"/>
          <w:b w:val="false"/>
          <w:i w:val="false"/>
          <w:color w:val="000000"/>
          <w:sz w:val="28"/>
        </w:rPr>
        <w:t xml:space="preserve">
      транспортном средстве для личного пользования (регистрационный номер, вид, марка, номер кузова или идентификационный номер, номер шасси (при наличии)); </w:t>
      </w:r>
    </w:p>
    <w:bookmarkEnd w:id="31"/>
    <w:bookmarkStart w:name="z118" w:id="32"/>
    <w:p>
      <w:pPr>
        <w:spacing w:after="0"/>
        <w:ind w:left="0"/>
        <w:jc w:val="both"/>
      </w:pPr>
      <w:r>
        <w:rPr>
          <w:rFonts w:ascii="Times New Roman"/>
          <w:b w:val="false"/>
          <w:i w:val="false"/>
          <w:color w:val="000000"/>
          <w:sz w:val="28"/>
        </w:rPr>
        <w:t xml:space="preserve">
      физическом лице, которому такое транспортное средство для личного пользования передается (фамилия, имя и отчество (при наличии), реквизиты документа, удостоверяющего личность, адрес места жительства (регистрации) или места пребывания на территории государства – члена Союза, гражданство (подданство), дата рождения, а также для физического лица государства – члена Союза – сведения о постановке на учет в налоговом органе (при наличии) (в Республике Армения – учетный номер налогоплательщика, в Республике Беларусь – идентификационный номер, в Республике Казахстан – индивидуальный идентификационный номер, в Кыргызской Республике – персональный идентификационный номер, в Российской Федерации – идентификационный номер налогоплательщика)).   </w:t>
      </w:r>
    </w:p>
    <w:bookmarkEnd w:id="32"/>
    <w:bookmarkStart w:name="z119" w:id="33"/>
    <w:p>
      <w:pPr>
        <w:spacing w:after="0"/>
        <w:ind w:left="0"/>
        <w:jc w:val="both"/>
      </w:pPr>
      <w:r>
        <w:rPr>
          <w:rFonts w:ascii="Times New Roman"/>
          <w:b w:val="false"/>
          <w:i w:val="false"/>
          <w:color w:val="000000"/>
          <w:sz w:val="28"/>
        </w:rPr>
        <w:t xml:space="preserve">
      Разрешение на передачу временно ввезенного на таможенную территорию транспортного средства для личного пользования отражается в декларации (в разделе "Для служебных отметок") или ином документе, оформленных таможенным органом при временном ввозе на таможенную территорию такого транспортного средства для личного пользования, путем внесения должностным лицом таможенного органа записи "Разрешена передача ТС для вывоза __________" с указанием фамилии, имени и отчества (при наличии) физического лица, которому такое транспортное средство для личного пользования передается, и реквизитов документа, удостоверяющего его личность. Запись заверяется оттиском личной номерной печати должностного лица таможенного органа, выдавшего такое разрешение. </w:t>
      </w:r>
    </w:p>
    <w:bookmarkEnd w:id="33"/>
    <w:bookmarkStart w:name="z120" w:id="34"/>
    <w:p>
      <w:pPr>
        <w:spacing w:after="0"/>
        <w:ind w:left="0"/>
        <w:jc w:val="both"/>
      </w:pPr>
      <w:r>
        <w:rPr>
          <w:rFonts w:ascii="Times New Roman"/>
          <w:b w:val="false"/>
          <w:i w:val="false"/>
          <w:color w:val="000000"/>
          <w:sz w:val="28"/>
        </w:rPr>
        <w:t>
      Оригиналы заявления и декларации (иного документа) с разрешением таможенного органа на передачу временно ввезенного на таможенную территорию транспортного средства для личного пользования возвращаются декларанту для последующей передачи физическому лицу, которому передается транспортное средство для личного пользования, либо непосредственно физическому лицу, которому передается транспортное средство для личного пользования (в случае, если заявление подано данным лицом), а копия такого заявления и копия декларации (иного документа) остаются в таможенном органе.</w:t>
      </w:r>
    </w:p>
    <w:bookmarkEnd w:id="34"/>
    <w:bookmarkStart w:name="z121" w:id="35"/>
    <w:p>
      <w:pPr>
        <w:spacing w:after="0"/>
        <w:ind w:left="0"/>
        <w:jc w:val="both"/>
      </w:pPr>
      <w:r>
        <w:rPr>
          <w:rFonts w:ascii="Times New Roman"/>
          <w:b w:val="false"/>
          <w:i w:val="false"/>
          <w:color w:val="000000"/>
          <w:sz w:val="28"/>
        </w:rPr>
        <w:t xml:space="preserve">
      В случае утраты декларации или иного документа, оформленных таможенным органом при временном ввозе на таможенную территорию транспортного средства для личного пользования, разрешение на передачу такого транспортного средства отражается в заявлениях, указанных в частях первой и второй настоящего пункта, путем внесения должностным лицом таможенного органа записи "Разрешена передача ТС для вывоза __________ до ________" с указанием даты окончания срока временного ввоза (день, месяц и год). Запись заверяется оттиском личной номерной печати должностного лица таможенного органа, выдавшего такое разрешение. </w:t>
      </w:r>
    </w:p>
    <w:bookmarkEnd w:id="35"/>
    <w:bookmarkStart w:name="z122" w:id="36"/>
    <w:p>
      <w:pPr>
        <w:spacing w:after="0"/>
        <w:ind w:left="0"/>
        <w:jc w:val="both"/>
      </w:pPr>
      <w:r>
        <w:rPr>
          <w:rFonts w:ascii="Times New Roman"/>
          <w:b w:val="false"/>
          <w:i w:val="false"/>
          <w:color w:val="000000"/>
          <w:sz w:val="28"/>
        </w:rPr>
        <w:t>
      Оригинал заявления с разрешением таможенного органа на передачу временно ввезенного на таможенную территорию транспортного средства для личного пользования возвращается декларанту для последующей передачи физическому лицу, которому передается транспортное средство для личного пользования, либо непосредственно физическому лицу, которому передается транспортное средство для личного пользования (в случае, если заявление подано данным лицом), а копия такого заявления остается в таможенном органе.";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 </w:t>
      </w:r>
    </w:p>
    <w:bookmarkStart w:name="z124" w:id="37"/>
    <w:p>
      <w:pPr>
        <w:spacing w:after="0"/>
        <w:ind w:left="0"/>
        <w:jc w:val="both"/>
      </w:pPr>
      <w:r>
        <w:rPr>
          <w:rFonts w:ascii="Times New Roman"/>
          <w:b w:val="false"/>
          <w:i w:val="false"/>
          <w:color w:val="000000"/>
          <w:sz w:val="28"/>
        </w:rPr>
        <w:t>
      "27. Иностранное физическое лицо, имеющее намерение переселиться на постоянное место жительства в государство – член Союза, получить статус беженца, вынужденного переселенца в соответствии с законодательством этого государства, для помещения на временное хранение товаров в месте постоянного или временного проживания (пребывания) такого лица и (или) в иных местах, установленных законодательством государств – членов Союза о таможенном регулировании, представляет таможенному органу заявление в произвольной форме, в котором указываются следующие сведения:</w:t>
      </w:r>
    </w:p>
    <w:bookmarkEnd w:id="37"/>
    <w:bookmarkStart w:name="z125" w:id="38"/>
    <w:p>
      <w:pPr>
        <w:spacing w:after="0"/>
        <w:ind w:left="0"/>
        <w:jc w:val="both"/>
      </w:pPr>
      <w:r>
        <w:rPr>
          <w:rFonts w:ascii="Times New Roman"/>
          <w:b w:val="false"/>
          <w:i w:val="false"/>
          <w:color w:val="000000"/>
          <w:sz w:val="28"/>
        </w:rPr>
        <w:t>
      1) сведения о себе (фамилия, имя и отчество (при наличии), реквизиты документа, удостоверяющего личность, адрес постоянного или временного проживания (пребывания) и (или) иного места, установленного законодательством государств – членов Союза о таможенном регулировании, в котором предполагается осуществлять временное хранение товаров);</w:t>
      </w:r>
    </w:p>
    <w:bookmarkEnd w:id="38"/>
    <w:bookmarkStart w:name="z126" w:id="39"/>
    <w:p>
      <w:pPr>
        <w:spacing w:after="0"/>
        <w:ind w:left="0"/>
        <w:jc w:val="both"/>
      </w:pPr>
      <w:r>
        <w:rPr>
          <w:rFonts w:ascii="Times New Roman"/>
          <w:b w:val="false"/>
          <w:i w:val="false"/>
          <w:color w:val="000000"/>
          <w:sz w:val="28"/>
        </w:rPr>
        <w:t>
      2) сведения о товарах (наименование, количество, вес в килограммах и (или) других единицах измерения, стоимость (в валюте государства – члена Союза, евро или долларах США));</w:t>
      </w:r>
    </w:p>
    <w:bookmarkEnd w:id="39"/>
    <w:bookmarkStart w:name="z127" w:id="40"/>
    <w:p>
      <w:pPr>
        <w:spacing w:after="0"/>
        <w:ind w:left="0"/>
        <w:jc w:val="both"/>
      </w:pPr>
      <w:r>
        <w:rPr>
          <w:rFonts w:ascii="Times New Roman"/>
          <w:b w:val="false"/>
          <w:i w:val="false"/>
          <w:color w:val="000000"/>
          <w:sz w:val="28"/>
        </w:rPr>
        <w:t>
      3) сведения об авто- и мототранспортном средстве и (или) прицепе к авто- и мототранспортному средству (регистрационный номер или информация о снятии с регистрационного учета, вид, марка, момент выпуска, номер кузова или идентификационный номер, объем двигателя, мощность двигателя (при наличии такой информации), номер шасси (при наличии), стоимость (в валюте государства – члена Союза, евро или долларах США));</w:t>
      </w:r>
    </w:p>
    <w:bookmarkEnd w:id="40"/>
    <w:bookmarkStart w:name="z128" w:id="41"/>
    <w:p>
      <w:pPr>
        <w:spacing w:after="0"/>
        <w:ind w:left="0"/>
        <w:jc w:val="both"/>
      </w:pPr>
      <w:r>
        <w:rPr>
          <w:rFonts w:ascii="Times New Roman"/>
          <w:b w:val="false"/>
          <w:i w:val="false"/>
          <w:color w:val="000000"/>
          <w:sz w:val="28"/>
        </w:rPr>
        <w:t>
      4) дата составления заявления, подпись иностранного физического лица.";</w:t>
      </w:r>
    </w:p>
    <w:bookmarkEnd w:id="41"/>
    <w:bookmarkStart w:name="z129" w:id="42"/>
    <w:p>
      <w:pPr>
        <w:spacing w:after="0"/>
        <w:ind w:left="0"/>
        <w:jc w:val="both"/>
      </w:pPr>
      <w:r>
        <w:rPr>
          <w:rFonts w:ascii="Times New Roman"/>
          <w:b w:val="false"/>
          <w:i w:val="false"/>
          <w:color w:val="000000"/>
          <w:sz w:val="28"/>
        </w:rPr>
        <w:t>
      дополнить пунктом 28 следующего содержания:</w:t>
      </w:r>
    </w:p>
    <w:bookmarkEnd w:id="42"/>
    <w:bookmarkStart w:name="z130" w:id="43"/>
    <w:p>
      <w:pPr>
        <w:spacing w:after="0"/>
        <w:ind w:left="0"/>
        <w:jc w:val="both"/>
      </w:pPr>
      <w:r>
        <w:rPr>
          <w:rFonts w:ascii="Times New Roman"/>
          <w:b w:val="false"/>
          <w:i w:val="false"/>
          <w:color w:val="000000"/>
          <w:sz w:val="28"/>
        </w:rPr>
        <w:t xml:space="preserve">
      "28. Перемещение через таможенную границу в сопровождаемом багаже товаров, являющихся товарами Союза, с одной части таможенной территории, за исключением территории свободной (специальной, особой) экономической зоны, указанной в пункте 1 статьи 455 Кодекса, на другую часть таможенной территории, за исключением территории свободной (специальной, особой) экономической зоны, указанной в пункте 1 статьи 455 Кодекса, через территории государств, не являющихся членами Союза, и (или) морем осуществляется без таможенного декларирования. </w:t>
      </w:r>
    </w:p>
    <w:bookmarkEnd w:id="43"/>
    <w:bookmarkStart w:name="z131" w:id="44"/>
    <w:p>
      <w:pPr>
        <w:spacing w:after="0"/>
        <w:ind w:left="0"/>
        <w:jc w:val="both"/>
      </w:pPr>
      <w:r>
        <w:rPr>
          <w:rFonts w:ascii="Times New Roman"/>
          <w:b w:val="false"/>
          <w:i w:val="false"/>
          <w:color w:val="000000"/>
          <w:sz w:val="28"/>
        </w:rPr>
        <w:t xml:space="preserve">
      В целях такого перемещения товары, являющиеся товарами Союза, должны быть идентифицированы. Идентификация производится таможенным органом места убытия с использованием бланка декларации, в котором физическое лицо указывает сведения о себе, а также сведения, позволяющие идентифицировать товары. </w:t>
      </w:r>
    </w:p>
    <w:bookmarkEnd w:id="44"/>
    <w:bookmarkStart w:name="z132" w:id="45"/>
    <w:p>
      <w:pPr>
        <w:spacing w:after="0"/>
        <w:ind w:left="0"/>
        <w:jc w:val="both"/>
      </w:pPr>
      <w:r>
        <w:rPr>
          <w:rFonts w:ascii="Times New Roman"/>
          <w:b w:val="false"/>
          <w:i w:val="false"/>
          <w:color w:val="000000"/>
          <w:sz w:val="28"/>
        </w:rPr>
        <w:t xml:space="preserve">
      Товары, перемещаемые в сопровождаемом багаже с одной части таможенной территории, за исключением территории свободной (специальной, особой) экономической зоны, указанной в пункте 1 статьи 455 Кодекса, на другую часть таможенной территории, за исключением территории свободной (специальной, особой) экономической зоны, указанной в пункте 1 статьи 455 Кодекса, через территории государств, не являющихся членами Союза, и (или) морем, рассматриваются таможенным органом места прибытия как товары Союза при наличии бланка декларации, указанного в части второй настоящего пункта, с проставленной в разделе "Для служебных отметок" должностным лицом таможенного органа места убытия отметкой "Товары Евразийского экономического союза", заверенной оттиском личной номерной печати такого должностного лица. </w:t>
      </w:r>
    </w:p>
    <w:bookmarkEnd w:id="45"/>
    <w:bookmarkStart w:name="z133" w:id="46"/>
    <w:p>
      <w:pPr>
        <w:spacing w:after="0"/>
        <w:ind w:left="0"/>
        <w:jc w:val="both"/>
      </w:pPr>
      <w:r>
        <w:rPr>
          <w:rFonts w:ascii="Times New Roman"/>
          <w:b w:val="false"/>
          <w:i w:val="false"/>
          <w:color w:val="000000"/>
          <w:sz w:val="28"/>
        </w:rPr>
        <w:t>
      Идентификация не требуется в отношении транспортных средств для личного пользования, зарегистрированных в государствах – членах Союза, товаров, перемещаемых водным, воздушным или железнодорожным транспортом, следующим без совершения промежуточных остановок или посадок на территориях государств, не являющихся членами Союза, а также товаров, перемещаемых в пределах стоимостных, весовых и (или) количественных норм, установленных для ввоза на таможенную территорию Союза товаров без уплаты таможенных пошлин, налогов, за исключением товаров, в отношении которых подлежат соблюдению запреты и ограничения в соответствии со статьей 7 Кодекса.".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Коллегии Евразийской экономической комиссии от 28.09.2021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