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19b6" w14:textId="0c41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особенностях применения таможенной процедуры таможенного транзита в отношении товаров, перемещаемых через таможенную границу Евразийского экономического союза в несобранном или разобранном виде, в том числе в некомплектном или незавершенном виде, и определения размера обеспечения исполнения обязанности по уплате таможенных пошлин, налогов в отношении таких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07 ноября 2017 года № 138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11 статьи 142 и пунктом 3 статьи 146 Таможенного кодекса Евразийского экономического союза (далее – Кодекс)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Таможенная процедура таможенного транзита в отношении товаров, перемещаемых через таможенную границу Евразийского экономического союза (далее – Союз) в несобранном или разобранном виде, в том числе в некомплектном или незавершенном виде (далее – разобранные товары), перевозимых по территориям двух и более государств – членов Союза в течение определенного периода времени одним или несколькими транспортными средствами международной перевозки, применяется с учетом того, что разобранный товар может декларироваться путем подачи нескольких транзитных деклараций в отношении компонентов этого товара, которые указаны в качестве таких компонентов в предварительном решении о классификации товара в соответствии с единой Товарной номенклатурой внешнеэкономической деятельности Евразийского экономического союза, принимаемом в соответствии с главой 3 Кодекса (далее соответственно – предварительное решение о классификации, ТН ВЭД ЕАЭС), либо в решении о классификации товара, принимаемом в соответствии с пунктом 3 статьи 21 Кодекса (далее – решение о классификации), с указанием кода в соответствии с ТН ВЭД ЕАЭС, соответствующего коду разобранного товара в комплектном или завершенном виде, указанному в соответствующем предварительном решении о классификации или решении о классификации.  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помещении под таможенную процедуру таможенного транзита компонентов разобранного товара, перевозимых по территориям двух и более государств – членов Союза в течение определенного периода времени одним или несколькими транспортными средствами международной перевозки, если в транзитной декларации указаны сведения о коде товара в соответствии с ТН ВЭД ЕАЭС согласно пункту 1 настоящего Решения и таможенное декларирование компонентов осуществляется в течение срока действия предварительного решения о классификации либо решения о классификации, для определения сумм таможенных пошлин, налогов в отношении таких компонентов, исходя из которых в соответствии с пунктом 2 статьи 146 Кодекса определяется размер обеспечения исполнения обязанности по уплате таможенных пошлин, налогов, применяются ставки таможенных пошлин, налогов, установленные в отношении разобранного товара в комплектном или завершенном виде.        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 апреля 2017 года.       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