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19b6" w14:textId="0c41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особенностях применения таможенной процедуры таможенного транзита в отношении товаров, перемещаемых через таможенную границу Евразийского экономического союза в несобранном или разобранном виде, в том числе в некомплектном или незавершенном виде, и определения размера обеспечения исполнения обязанности по уплате таможенных пошлин, налогов в отношении таких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ноября 2017 года № 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11 статьи 142 и пунктом 3 статьи 146 Таможенного кодекса Евразийского экономического союза (далее – Кодекс)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Таможенная процедура таможенного транзита в отношении товаров, перемещаемых через таможенную границу Евразийского экономического союза (далее – Союз) в несобранном или разобранном виде, в том числе в некомплектном или незавершенном виде (далее – разобранные товары), перевозимых по территориям двух и более государств – членов Союза в течение определенного периода времени одним или несколькими транспортными средствами международной перевозки, применяется с учетом того, что разобранный товар может декларироваться путем подачи нескольких транзитных деклараций в отношении компонентов этого товара, которые указаны в качестве таких компонентов в предварительном решении о классификации товара в соответствии с единой Товарной номенклатурой внешнеэкономической деятельности Евразийского экономического союза, принимаемом в соответствии с главой 3 Кодекса (далее соответственно – предварительное решение о классификации, ТН ВЭД ЕАЭС), либо в решении о классификации товара, принимаемом в соответствии с пунктом 3 статьи 21 Кодекса (далее – решение о классификации), с указанием кода в соответствии с ТН ВЭД ЕАЭС, соответствующего коду разобранного товара в комплектном или завершенном виде, указанному в соответствующем предварительном решении о классификации или решении о классификации. 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помещении под таможенную процедуру таможенного транзита компонентов разобранного товара, перевозимых по территориям двух и более государств – членов Союза в течение определенного периода времени одним или несколькими транспортными средствами международной перевозки, если в транзитной декларации указаны сведения о коде товара в соответствии с ТН ВЭД ЕАЭС согласно пункту 1 настоящего Решения и таможенное декларирование компонентов осуществляется в течение срока действия предварительного решения о классификации либо решения о классификации, для определения сумм таможенных пошлин, налогов в отношении таких компонентов, исходя из которых в соответствии с пунктом 2 статьи 146 Кодекса определяется размер обеспечения исполнения обязанности по уплате таможенных пошлин, налогов, применяются ставки таможенных пошлин, налогов, установленные в отношении разобранного товара в комплектном или завершенном виде.      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      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