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6aa6" w14:textId="12b6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упакованной питьевой воды, включая природную минеральную воду" (ТР ЕАЭС 044/2017) (далее соответственно – продукция, технический регламент), до дня вступления технического регламента в силу, действительны до окончания срока их действия, но не позднее 31 декабря 2021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технического регламента в силу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1 июля 2019 г. допускаются производство и выпуск в обращение на территориях государств-членов продукции, не подлежавшей до дня вступления технического регламента в силу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 31 декабря 2021 г.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при наличии документов об оценке соответствия продукции указанным обязательным требованиям, выданных или принятых до дня вступления технического регламента в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указанной в подпунктах "б" и "в" настоящего пункта, допускается в течение срока годности такой продукции, установленного в соответствии с законодательством государства-члена.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23.06.2020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Члену Коллегии (Министру) по техническому регулированию Евразийской экономической комиссии Корешкову В.Н. совместно с государствами-членами подготовить для рассмотрения на заседании Коллегии Евразийской экономической комиссии до дня вступления технического регламента в силу: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проект решения Коллегии Евразийской экономической комиссии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в части, касающейся применения в отношении продукции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указанным Решением;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проект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регламента.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