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21e7" w14:textId="4ce2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 ведении общего перечня мест (учреждений) международного почтового обмена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сентября 2017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подпунктов 3 и 4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 29 мая 2014 года) и на основании пункта 4 статьи 286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общий перечень мест (учреждений) международного почтового обмена, формируемый Евразийской экономической комиссией (далее – Комиссия), размещается на официальном сайте Евразийского экономического союза;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внесение изменений в перечень, указанный в подпункте "а" настоящего пункта, осуществляется Комиссией не позднее 1 рабочего дня с момента поступления от таможенных органов государств – членов Евразийского экономического союза (далее – государства-члены) соответствующей информации.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государства-члены в целях создания общих информационных ресурсов обеспечить направление таможенными органами в Комиссию: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информации об изменении мест (учреждений) международного почтового обмена не позднее 3 рабочих дней с момента внесения изменений в соответствующие нормативные правовые акты государств-членов;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следующих сведений в электронном виде (в формате *.doc или *.xlsx):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места (учреждения) международного почтового обмена;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(учреждения) международного почтового обмена;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код таможенного органа, совершающего таможенные операции в месте (учреждении) международного почтового обмена, в соответствии с классификатором таможенных органов, применяемым в государстве-члене.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