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21e7" w14:textId="4ce2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и ведении общего перечня мест (учреждений) международного почтового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сентября 2017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подпунктов 3 и 4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 29 мая 2014 года) и на основании пункта 4 статьи 286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общий перечень мест (учреждений) международного почтового обмена, формируемый Евразийской экономической комиссией (далее – Комиссия), размещается на официальном сайте Евразийского экономического союза;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внесение изменений в перечень, указанный в подпункте "а" настоящего пункта, осуществляется Комиссией не позднее 1 рабочего дня с момента поступления от таможенных органов государств – членов Евразийского экономического союза (далее – государства-члены) соответствующей информации.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государства-члены в целях создания общих информационных ресурсов обеспечить направление таможенными органами в Комиссию: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информации об изменении мест (учреждений) международного почтового обмена не позднее 3 рабочих дней с момента внесения изменений в соответствующие нормативные правовые акты государств-членов;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следующих сведений в электронном виде (в формате *.doc или *.xlsx):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места (учреждения) международного почтового обмена;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(учреждения) международного почтового обмена;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код таможенного органа, совершающего таможенные операции в месте (учреждении) международного почтового обмена, в соответствии с классификатором таможенных органов, применяемым в государстве-члене.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