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37aa" w14:textId="48b3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дробильно-сортировочной установки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августа 2017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соответствии с Основными правилами интерпретации Товарной номенклатуры внешнеэкономической деятельности 1, 3(б) и 6 в подсубпозиции 8474 20 000 3 единой Товарной номенклатуры внешнеэкономической деятельности Евразийского экономического союза классифицируется дробильно-сортировочная установка, предназначенная для двухэтапного дробления и сортировки гранита, кварца, базальта, песчаника, железной руды, состоящая из следующих устройств, размещенных на колесном несамоходном шасс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ковая дробилка, предназначенная для первичного дробления, оснащенная платформой с перилами и лестницей, с электрическим приводом и приемным отверстием длиной не менее 400 мм, но не более 2100 мм и шириной не менее 200 мм, но не более 1500 мм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усная дробилка, предназначенная для вторичного и последующего дробления, с электрическим приводо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нкер с вибрационным колосниковым питателем;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овый грохот с электрическим приводом;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кнутый конвейер и конвейер готовой продукции; 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номный электрический распределительный шкаф для распределения электроэнергии на все электрические моторы дробильно-сортировочной установки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хосное колесное шасси с опорами, обеспечивающими устойчивость дробильно-сортировочной установки в рабочем положении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