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0991" w14:textId="b510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уровой штанг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7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соответствии с Основным правилом интерпретации Товарной номенклатуры внешнеэкономической деятельности 1 в товарной позиции 7304 единой Товарной номенклатуры внешнеэкономической деятельности Евразийского экономического союза классифицируется буровая штанга, соответствующая следующим критериям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редставляет собой бесшовную трубу с постоянным поперечным сечением по всей длине трубы, с одной замкнутой полостью вдоль всей длины трубы, с одинаковой по форме внутренней и внешней поверхностью, со сварными замками, расположенными на концах трубы, один из которых имеет наружную коническую резьбу, а другой – внутреннюю коническую резьбу, и углублениями под ключ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изготавливается из стали литьем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предназначена для удлинения буровой колонны, передачи крутящего момента к породоразрушающему инструменту, его спуска и подъем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является расходным материалом, необходимое количество которого определяется длиной (глубиной) скважин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