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687d" w14:textId="c296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приложение № 2 к Положению о ввозе на таможенную территорию Евразийского экономического союза радиоэлектронных средств и высокочастотных устройств гражданского назначения, в том числе встроенных либо входящих в состав других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июня 2017 года № 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</w:t>
      </w:r>
      <w:r>
        <w:rPr>
          <w:rFonts w:ascii="Times New Roman"/>
          <w:b w:val="false"/>
          <w:i w:val="false"/>
          <w:color w:val="000000"/>
          <w:sz w:val="28"/>
        </w:rPr>
        <w:t>приложение № 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пункт 3 </w:t>
      </w:r>
      <w:r>
        <w:rPr>
          <w:rFonts w:ascii="Times New Roman"/>
          <w:b w:val="false"/>
          <w:i w:val="false"/>
          <w:color w:val="000000"/>
          <w:sz w:val="28"/>
        </w:rPr>
        <w:t>приложения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о ввозе на таможенную территорию Евразийского экономического союза радиоэлектронных средств и высокочастотных устройств гражданского назначения, в том числе встроенных либо входящих в состав других товаров, утвержденному Решением Коллегии Евразийской экономической комиссии от 21 апреля 2015 г. № 30,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 в подпункте 7 слова "5150 – 5350 МГц и 5650 – 5725 МГц" заменить словами "5150 – 5350 МГц, 5650 – 5850 МГц и 57 – 66 ГГц";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 подпункт 17 дополнить словами "и в полосе радиочастот 2400 – 2483,5 МГц, с выходной мощностью передатчика не более 10 мВт".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Настоящее Решение вступает в силу по истечении 30 календарных дней с даты его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