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3372" w14:textId="4f83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октября 2017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2018 год размер пошлины, уплачиваемой хозяйствующими субъектами при обращении в Суд Евразийского экономического союза, в размере 42 948 российских рублей в соответствии с прогнозируемым при подготовке проекта бюджета Евразийского экономического союза на 2018 год индексом роста потребительских цен, составляющим 4 процента.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января 2018 г.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